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仿宋_GB2312" w:cs="Times New Roman"/>
          <w:snapToGrid/>
          <w:sz w:val="32"/>
          <w:szCs w:val="32"/>
        </w:rPr>
      </w:pPr>
    </w:p>
    <w:p>
      <w:pPr>
        <w:spacing w:line="600" w:lineRule="exact"/>
        <w:jc w:val="center"/>
        <w:rPr>
          <w:rFonts w:hint="default" w:ascii="Times New Roman" w:hAnsi="Times New Roman" w:eastAsia="仿宋_GB2312" w:cs="Times New Roman"/>
          <w:snapToGrid/>
          <w:sz w:val="32"/>
          <w:szCs w:val="32"/>
        </w:rPr>
      </w:pPr>
    </w:p>
    <w:p>
      <w:pPr>
        <w:keepNext w:val="0"/>
        <w:keepLines w:val="0"/>
        <w:pageBreakBefore w:val="0"/>
        <w:widowControl w:val="0"/>
        <w:kinsoku/>
        <w:wordWrap/>
        <w:overflowPunct/>
        <w:topLinePunct w:val="0"/>
        <w:autoSpaceDE/>
        <w:autoSpaceDN/>
        <w:bidi w:val="0"/>
        <w:adjustRightInd/>
        <w:snapToGrid/>
        <w:spacing w:before="188" w:beforeLines="60" w:line="600" w:lineRule="exact"/>
        <w:ind w:right="210" w:rightChars="100"/>
        <w:jc w:val="right"/>
        <w:textAlignment w:val="auto"/>
        <w:rPr>
          <w:rFonts w:hint="default" w:ascii="Times New Roman" w:hAnsi="Times New Roman" w:eastAsia="仿宋_GB2312" w:cs="Times New Roman"/>
          <w:snapToGrid/>
          <w:sz w:val="32"/>
          <w:szCs w:val="32"/>
        </w:rPr>
      </w:pPr>
      <w:bookmarkStart w:id="0" w:name="_GoBack"/>
      <w:r>
        <w:rPr>
          <w:rFonts w:hint="default" w:ascii="Times New Roman" w:hAnsi="Times New Roman" w:eastAsia="仿宋_GB2312" w:cs="Times New Roman"/>
          <w:snapToGrid/>
          <w:sz w:val="32"/>
          <w:szCs w:val="32"/>
        </w:rPr>
        <w:t>休农水函〔20</w:t>
      </w:r>
      <w:r>
        <w:rPr>
          <w:rFonts w:hint="default" w:ascii="Times New Roman" w:hAnsi="Times New Roman" w:eastAsia="仿宋_GB2312" w:cs="Times New Roman"/>
          <w:snapToGrid/>
          <w:sz w:val="32"/>
          <w:szCs w:val="32"/>
          <w:lang w:val="en-US" w:eastAsia="zh-CN"/>
        </w:rPr>
        <w:t>2</w:t>
      </w:r>
      <w:r>
        <w:rPr>
          <w:rFonts w:hint="eastAsia" w:eastAsia="仿宋_GB2312" w:cs="Times New Roman"/>
          <w:snapToGrid/>
          <w:sz w:val="32"/>
          <w:szCs w:val="32"/>
          <w:lang w:val="en-US" w:eastAsia="zh-CN"/>
        </w:rPr>
        <w:t>4</w:t>
      </w:r>
      <w:r>
        <w:rPr>
          <w:rFonts w:hint="default" w:ascii="Times New Roman" w:hAnsi="Times New Roman" w:eastAsia="仿宋_GB2312" w:cs="Times New Roman"/>
          <w:snapToGrid/>
          <w:sz w:val="32"/>
          <w:szCs w:val="32"/>
        </w:rPr>
        <w:t>〕</w:t>
      </w:r>
      <w:r>
        <w:rPr>
          <w:rFonts w:hint="eastAsia" w:eastAsia="仿宋_GB2312" w:cs="Times New Roman"/>
          <w:snapToGrid/>
          <w:sz w:val="32"/>
          <w:szCs w:val="32"/>
          <w:lang w:val="en-US" w:eastAsia="zh-CN"/>
        </w:rPr>
        <w:t>35</w:t>
      </w:r>
      <w:r>
        <w:rPr>
          <w:rFonts w:hint="default" w:ascii="Times New Roman" w:hAnsi="Times New Roman" w:eastAsia="仿宋_GB2312" w:cs="Times New Roman"/>
          <w:snapToGrid/>
          <w:sz w:val="32"/>
          <w:szCs w:val="32"/>
        </w:rPr>
        <w:t>号</w:t>
      </w:r>
    </w:p>
    <w:bookmarkEnd w:id="0"/>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eastAsia="方正小标宋简体"/>
          <w:w w:val="95"/>
          <w:sz w:val="44"/>
          <w:szCs w:val="44"/>
        </w:rPr>
      </w:pPr>
      <w:r>
        <w:rPr>
          <w:rFonts w:hint="eastAsia" w:eastAsia="方正小标宋简体"/>
          <w:w w:val="95"/>
          <w:sz w:val="44"/>
          <w:szCs w:val="44"/>
          <w:lang w:val="en-US" w:eastAsia="zh-CN"/>
        </w:rPr>
        <w:t>休宁县农业农村水利局</w:t>
      </w:r>
      <w:r>
        <w:rPr>
          <w:rFonts w:hint="eastAsia" w:eastAsia="方正小标宋简体"/>
          <w:w w:val="95"/>
          <w:sz w:val="44"/>
          <w:szCs w:val="44"/>
        </w:rPr>
        <w:t>关于加强加拿大一枝黄花</w:t>
      </w:r>
      <w:r>
        <w:rPr>
          <w:rFonts w:hint="eastAsia" w:eastAsia="方正小标宋简体"/>
          <w:w w:val="95"/>
          <w:sz w:val="44"/>
          <w:szCs w:val="44"/>
          <w:lang w:eastAsia="zh-CN"/>
        </w:rPr>
        <w:t>春季</w:t>
      </w:r>
      <w:r>
        <w:rPr>
          <w:rFonts w:hint="eastAsia" w:eastAsia="方正小标宋简体"/>
          <w:w w:val="95"/>
          <w:sz w:val="44"/>
          <w:szCs w:val="44"/>
        </w:rPr>
        <w:t>防控工作的通知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eastAsia="仿宋_GB2312"/>
          <w:sz w:val="32"/>
          <w:szCs w:val="32"/>
        </w:rPr>
      </w:pPr>
      <w:r>
        <w:rPr>
          <w:rFonts w:hint="eastAsia" w:eastAsia="仿宋_GB2312"/>
          <w:sz w:val="32"/>
          <w:szCs w:val="32"/>
        </w:rPr>
        <w:t>各</w:t>
      </w:r>
      <w:r>
        <w:rPr>
          <w:rFonts w:hint="eastAsia" w:eastAsia="仿宋_GB2312"/>
          <w:sz w:val="32"/>
          <w:szCs w:val="32"/>
          <w:lang w:eastAsia="zh-CN"/>
        </w:rPr>
        <w:t>乡镇人民政府</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eastAsia="仿宋_GB2312"/>
          <w:sz w:val="32"/>
          <w:szCs w:val="32"/>
        </w:rPr>
      </w:pPr>
      <w:r>
        <w:rPr>
          <w:rFonts w:eastAsia="仿宋_GB2312"/>
          <w:sz w:val="32"/>
          <w:szCs w:val="32"/>
        </w:rPr>
        <w:t>近年来</w:t>
      </w:r>
      <w:r>
        <w:rPr>
          <w:rFonts w:hint="eastAsia" w:eastAsia="仿宋_GB2312"/>
          <w:sz w:val="32"/>
          <w:szCs w:val="32"/>
          <w:lang w:eastAsia="zh-CN"/>
        </w:rPr>
        <w:t>本地</w:t>
      </w:r>
      <w:r>
        <w:rPr>
          <w:rFonts w:eastAsia="仿宋_GB2312"/>
          <w:sz w:val="32"/>
          <w:szCs w:val="32"/>
        </w:rPr>
        <w:t>“加拿大一枝黄花”蔓延加剧，对我</w:t>
      </w:r>
      <w:r>
        <w:rPr>
          <w:rFonts w:hint="eastAsia" w:eastAsia="仿宋_GB2312"/>
          <w:sz w:val="32"/>
          <w:szCs w:val="32"/>
          <w:lang w:val="en-US" w:eastAsia="zh-CN"/>
        </w:rPr>
        <w:t>县</w:t>
      </w:r>
      <w:r>
        <w:rPr>
          <w:rFonts w:eastAsia="仿宋_GB2312"/>
          <w:sz w:val="32"/>
          <w:szCs w:val="32"/>
        </w:rPr>
        <w:t>农业生产及生态环境造成不利影响，社会反响较大。为切实做好我</w:t>
      </w:r>
      <w:r>
        <w:rPr>
          <w:rFonts w:hint="eastAsia" w:eastAsia="仿宋_GB2312"/>
          <w:sz w:val="32"/>
          <w:szCs w:val="32"/>
          <w:lang w:val="en-US" w:eastAsia="zh-CN"/>
        </w:rPr>
        <w:t>县</w:t>
      </w:r>
      <w:r>
        <w:rPr>
          <w:rFonts w:eastAsia="仿宋_GB2312"/>
          <w:sz w:val="32"/>
          <w:szCs w:val="32"/>
        </w:rPr>
        <w:t>外来入侵物种防控，维护好我</w:t>
      </w:r>
      <w:r>
        <w:rPr>
          <w:rFonts w:hint="eastAsia" w:eastAsia="仿宋_GB2312"/>
          <w:sz w:val="32"/>
          <w:szCs w:val="32"/>
          <w:lang w:val="en-US" w:eastAsia="zh-CN"/>
        </w:rPr>
        <w:t>县</w:t>
      </w:r>
      <w:r>
        <w:rPr>
          <w:rFonts w:eastAsia="仿宋_GB2312"/>
          <w:sz w:val="32"/>
          <w:szCs w:val="32"/>
        </w:rPr>
        <w:t>粮食安全、生物安全和生态安全，现就加强“加拿大一枝黄花”</w:t>
      </w:r>
      <w:r>
        <w:rPr>
          <w:rFonts w:hint="eastAsia" w:eastAsia="仿宋_GB2312"/>
          <w:sz w:val="32"/>
          <w:szCs w:val="32"/>
        </w:rPr>
        <w:t>春季</w:t>
      </w:r>
      <w:r>
        <w:rPr>
          <w:rFonts w:eastAsia="仿宋_GB2312"/>
          <w:sz w:val="32"/>
          <w:szCs w:val="32"/>
        </w:rPr>
        <w:t>防控工作通知如下：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eastAsia="黑体"/>
          <w:sz w:val="32"/>
          <w:szCs w:val="32"/>
        </w:rPr>
      </w:pPr>
      <w:r>
        <w:rPr>
          <w:rFonts w:eastAsia="黑体"/>
          <w:sz w:val="32"/>
          <w:szCs w:val="32"/>
        </w:rPr>
        <w:t>一、认识重要危害，提高政治站位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eastAsia="仿宋_GB2312"/>
          <w:sz w:val="32"/>
          <w:szCs w:val="32"/>
        </w:rPr>
      </w:pPr>
      <w:r>
        <w:rPr>
          <w:rFonts w:eastAsia="仿宋_GB2312"/>
          <w:sz w:val="32"/>
          <w:szCs w:val="32"/>
        </w:rPr>
        <w:t>“加拿大一枝黄花”具有繁殖能力强、传播途径多样、扩散范围广的特点。习近平总书记就做好防范外来物种入侵、保护生物多样性工作作了多次重要批示，各地要充分认识防范外来物种入侵</w:t>
      </w:r>
      <w:r>
        <w:rPr>
          <w:rFonts w:eastAsia="仿宋_GB2312"/>
          <w:sz w:val="32"/>
          <w:szCs w:val="32"/>
          <w:lang w:val="en"/>
        </w:rPr>
        <w:t>的</w:t>
      </w:r>
      <w:r>
        <w:rPr>
          <w:rFonts w:eastAsia="仿宋_GB2312"/>
          <w:sz w:val="32"/>
          <w:szCs w:val="32"/>
        </w:rPr>
        <w:t>重大意义，增强外来物种入侵防控工作责任感、紧迫感。要从保障粮食安全形势要求、维护生物安全的战略高度、保护生态安全长远维度认识和抓好“加拿大一枝黄花”防控工作。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eastAsia="黑体"/>
          <w:sz w:val="32"/>
          <w:szCs w:val="32"/>
        </w:rPr>
      </w:pPr>
      <w:r>
        <w:rPr>
          <w:rFonts w:eastAsia="黑体"/>
          <w:sz w:val="32"/>
          <w:szCs w:val="32"/>
        </w:rPr>
        <w:t>二、开展科学防控，紧抓春防时机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eastAsia="仿宋_GB2312"/>
          <w:sz w:val="32"/>
          <w:szCs w:val="32"/>
        </w:rPr>
      </w:pPr>
      <w:r>
        <w:rPr>
          <w:rFonts w:eastAsia="仿宋_GB2312"/>
          <w:sz w:val="32"/>
          <w:szCs w:val="32"/>
        </w:rPr>
        <w:t>针对不同发生区域，</w:t>
      </w:r>
      <w:r>
        <w:rPr>
          <w:rFonts w:hint="eastAsia" w:eastAsia="仿宋_GB2312"/>
          <w:sz w:val="32"/>
          <w:szCs w:val="32"/>
          <w:lang w:eastAsia="zh-CN"/>
        </w:rPr>
        <w:t>各乡镇可</w:t>
      </w:r>
      <w:r>
        <w:rPr>
          <w:rFonts w:eastAsia="仿宋_GB2312"/>
          <w:sz w:val="32"/>
          <w:szCs w:val="32"/>
        </w:rPr>
        <w:t>因地制宜采用人工铲除、机械铲除、化学防除、复耕复种等措施开展防控。</w:t>
      </w:r>
      <w:r>
        <w:rPr>
          <w:rFonts w:eastAsia="仿宋_GB2312"/>
          <w:b/>
          <w:bCs/>
          <w:sz w:val="32"/>
          <w:szCs w:val="32"/>
        </w:rPr>
        <w:t>一是</w:t>
      </w:r>
      <w:r>
        <w:rPr>
          <w:rFonts w:eastAsia="仿宋_GB2312"/>
          <w:sz w:val="32"/>
          <w:szCs w:val="32"/>
        </w:rPr>
        <w:t>人工铲除。对零星发生或不宜使用化学防除的区域，可在“加拿大一枝黄花”营养生长期，采取人工拔除或割除方式，并挖除地下根茎集中销毁，防止宿根再生。</w:t>
      </w:r>
      <w:r>
        <w:rPr>
          <w:rFonts w:eastAsia="仿宋_GB2312"/>
          <w:b/>
          <w:bCs/>
          <w:sz w:val="32"/>
          <w:szCs w:val="32"/>
        </w:rPr>
        <w:t>二是</w:t>
      </w:r>
      <w:r>
        <w:rPr>
          <w:rFonts w:eastAsia="仿宋_GB2312"/>
          <w:sz w:val="32"/>
          <w:szCs w:val="32"/>
        </w:rPr>
        <w:t>机械铲除。对于发生数量极多，呈线、面状的旺盛期成片发生区，采用机械割除方式，割除后再结合翻耕或药剂防治等方法加强监测和管理。</w:t>
      </w:r>
      <w:r>
        <w:rPr>
          <w:rFonts w:eastAsia="仿宋_GB2312"/>
          <w:b/>
          <w:bCs/>
          <w:sz w:val="32"/>
          <w:szCs w:val="32"/>
        </w:rPr>
        <w:t>三是</w:t>
      </w:r>
      <w:r>
        <w:rPr>
          <w:rFonts w:eastAsia="仿宋_GB2312"/>
          <w:sz w:val="32"/>
          <w:szCs w:val="32"/>
        </w:rPr>
        <w:t>化学防除。</w:t>
      </w:r>
      <w:r>
        <w:rPr>
          <w:rFonts w:hint="eastAsia" w:eastAsia="仿宋_GB2312"/>
          <w:sz w:val="32"/>
          <w:szCs w:val="32"/>
          <w:lang w:eastAsia="zh-CN"/>
        </w:rPr>
        <w:t>当前正值</w:t>
      </w:r>
      <w:r>
        <w:rPr>
          <w:rFonts w:eastAsia="仿宋_GB2312"/>
          <w:sz w:val="32"/>
          <w:szCs w:val="32"/>
        </w:rPr>
        <w:t>“加拿大一枝黄花”</w:t>
      </w:r>
      <w:r>
        <w:rPr>
          <w:rFonts w:hint="eastAsia" w:eastAsia="仿宋_GB2312"/>
          <w:sz w:val="32"/>
          <w:szCs w:val="32"/>
          <w:lang w:eastAsia="zh-CN"/>
        </w:rPr>
        <w:t>幼苗期，生长量小，对药剂敏感程度高</w:t>
      </w:r>
      <w:r>
        <w:rPr>
          <w:rFonts w:eastAsia="仿宋_GB2312"/>
          <w:sz w:val="32"/>
          <w:szCs w:val="32"/>
        </w:rPr>
        <w:t>。是</w:t>
      </w:r>
      <w:r>
        <w:rPr>
          <w:rFonts w:hint="eastAsia" w:eastAsia="仿宋_GB2312"/>
          <w:sz w:val="32"/>
          <w:szCs w:val="32"/>
          <w:lang w:eastAsia="zh-CN"/>
        </w:rPr>
        <w:t>采取</w:t>
      </w:r>
      <w:r>
        <w:rPr>
          <w:rFonts w:eastAsia="仿宋_GB2312"/>
          <w:sz w:val="32"/>
          <w:szCs w:val="32"/>
        </w:rPr>
        <w:t>化学防治的最佳时期，施用药剂易渗透，效率高，效果好。</w:t>
      </w:r>
      <w:r>
        <w:rPr>
          <w:rFonts w:hint="eastAsia" w:eastAsia="仿宋_GB2312"/>
          <w:sz w:val="32"/>
          <w:szCs w:val="32"/>
          <w:lang w:eastAsia="zh-CN"/>
        </w:rPr>
        <w:t>根据本市邻近区县近年来化学防治经验，</w:t>
      </w:r>
      <w:r>
        <w:rPr>
          <w:rFonts w:eastAsia="仿宋_GB2312"/>
          <w:sz w:val="32"/>
          <w:szCs w:val="32"/>
        </w:rPr>
        <w:t>施用药剂建议</w:t>
      </w:r>
      <w:r>
        <w:rPr>
          <w:rFonts w:hint="eastAsia" w:eastAsia="仿宋_GB2312"/>
          <w:sz w:val="32"/>
          <w:szCs w:val="32"/>
          <w:lang w:eastAsia="zh-CN"/>
        </w:rPr>
        <w:t>用草甘磷</w:t>
      </w:r>
      <w:r>
        <w:rPr>
          <w:rFonts w:eastAsia="仿宋_GB2312"/>
          <w:sz w:val="32"/>
          <w:szCs w:val="32"/>
        </w:rPr>
        <w:t>。</w:t>
      </w:r>
      <w:r>
        <w:rPr>
          <w:rFonts w:eastAsia="仿宋_GB2312"/>
          <w:b/>
          <w:bCs/>
          <w:sz w:val="32"/>
          <w:szCs w:val="32"/>
        </w:rPr>
        <w:t>四是</w:t>
      </w:r>
      <w:r>
        <w:rPr>
          <w:rFonts w:eastAsia="仿宋_GB2312"/>
          <w:sz w:val="32"/>
          <w:szCs w:val="32"/>
        </w:rPr>
        <w:t>复耕复种。在采取各种措施有效铲除“加拿大一枝黄花”后，对于裸露地块要及时种植适宜的农作物或绿化植物，及时占领生态位，防止“加拿大一枝黄花”再次侵占。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eastAsia="黑体"/>
          <w:sz w:val="32"/>
          <w:szCs w:val="32"/>
          <w:lang w:eastAsia="zh-CN"/>
        </w:rPr>
      </w:pPr>
      <w:r>
        <w:rPr>
          <w:rFonts w:eastAsia="黑体"/>
          <w:sz w:val="32"/>
          <w:szCs w:val="32"/>
        </w:rPr>
        <w:t>三、压实工作责任，</w:t>
      </w:r>
      <w:r>
        <w:rPr>
          <w:rFonts w:hint="eastAsia" w:eastAsia="黑体"/>
          <w:sz w:val="32"/>
          <w:szCs w:val="32"/>
          <w:lang w:eastAsia="zh-CN"/>
        </w:rPr>
        <w:t>强化联防联控</w:t>
      </w:r>
    </w:p>
    <w:p>
      <w:pPr>
        <w:pStyle w:val="6"/>
        <w:keepNext w:val="0"/>
        <w:keepLines w:val="0"/>
        <w:pageBreakBefore w:val="0"/>
        <w:widowControl w:val="0"/>
        <w:suppressLineNumbers w:val="0"/>
        <w:kinsoku/>
        <w:wordWrap/>
        <w:overflowPunct/>
        <w:topLinePunct w:val="0"/>
        <w:autoSpaceDE/>
        <w:autoSpaceDN/>
        <w:bidi w:val="0"/>
        <w:adjustRightInd/>
        <w:snapToGrid/>
        <w:spacing w:line="560" w:lineRule="exact"/>
        <w:ind w:left="0" w:right="0" w:rightChars="0" w:firstLine="641"/>
        <w:textAlignment w:val="auto"/>
        <w:rPr>
          <w:rFonts w:hint="eastAsia" w:ascii="Times New Roman" w:hAnsi="Times New Roman" w:eastAsia="仿宋_GB2312" w:cs="Times New Roman"/>
          <w:snapToGrid w:val="0"/>
          <w:kern w:val="2"/>
          <w:sz w:val="32"/>
          <w:szCs w:val="32"/>
          <w:lang w:val="en-US" w:eastAsia="zh-CN" w:bidi="ar-SA"/>
        </w:rPr>
      </w:pPr>
      <w:r>
        <w:rPr>
          <w:rFonts w:hint="eastAsia" w:ascii="Times New Roman" w:hAnsi="Times New Roman" w:eastAsia="仿宋_GB2312" w:cs="Times New Roman"/>
          <w:snapToGrid w:val="0"/>
          <w:kern w:val="2"/>
          <w:sz w:val="32"/>
          <w:szCs w:val="32"/>
          <w:lang w:val="en-US" w:eastAsia="zh-CN" w:bidi="ar-SA"/>
        </w:rPr>
        <w:t>坚持“属地管理、分级负责、各方联动”的原则，全力开展好加拿大一枝黄花防除工作。县直相关单位要根据职责分工，强化协调联动、合力推进，有力有序指导各地开展好防除工作。县农业农村水利局、县生态环境分局负责防除工作的整体部署和推动。县农业农村部门指导全县农用地内加拿大一枝黄花以及河、湖、库区及岸边加拿大一枝黄花的防除工作；县林业部门指导林地、苗圃等周边加拿大一枝黄花的防除工作；县住建部门指导在建项目工地、城区公园广场和公共绿地等区域内加拿大一枝黄花的防除工作；县交通运输部门指导协调公路、铁路、高速高铁两侧加拿大一枝黄花的防除工作；县文化旅游部门指导风景名胜区及主要景区内及周边加拿大一枝黄花的防除工作。同时，组织引导广大民众积极参与防除工作，形成工作合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eastAsia="黑体"/>
          <w:sz w:val="32"/>
          <w:szCs w:val="32"/>
        </w:rPr>
      </w:pPr>
      <w:r>
        <w:rPr>
          <w:rFonts w:eastAsia="黑体"/>
          <w:sz w:val="32"/>
          <w:szCs w:val="32"/>
        </w:rPr>
        <w:t>四、加强宣传引导，强化群防群控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eastAsia="仿宋_GB2312"/>
          <w:sz w:val="32"/>
          <w:szCs w:val="32"/>
        </w:rPr>
      </w:pPr>
      <w:r>
        <w:rPr>
          <w:rFonts w:eastAsia="仿宋_GB2312"/>
          <w:sz w:val="32"/>
          <w:szCs w:val="32"/>
        </w:rPr>
        <w:t>加强对“加拿大一枝黄花”防控工作的重要性及防控科普知识宣传，正确引导舆论，避免群众因认识不到位而产生恐慌心理。利用专题培训、党员志愿服务等线下活动宣传与广播、电视、报纸、微信等线上宣传相结合的方式，对“加拿大一枝黄花”的特征、防治方法、危害性等进行广泛宣传，提升广大群众对“加拿大一枝黄花”防控工作必要性的认识，形成全民参与、群防群控的良好氛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eastAsia="仿宋_GB2312"/>
          <w:sz w:val="32"/>
          <w:szCs w:val="32"/>
          <w:lang w:val="en-US" w:eastAsia="zh-CN"/>
        </w:rPr>
      </w:pPr>
      <w:r>
        <w:rPr>
          <w:rFonts w:hint="eastAsia" w:eastAsia="仿宋_GB2312"/>
          <w:sz w:val="32"/>
          <w:szCs w:val="32"/>
          <w:lang w:eastAsia="zh-CN"/>
        </w:rPr>
        <w:t>春季防控行动结束后，请</w:t>
      </w:r>
      <w:r>
        <w:rPr>
          <w:rFonts w:hint="eastAsia" w:eastAsia="仿宋_GB2312"/>
          <w:sz w:val="32"/>
          <w:szCs w:val="32"/>
          <w:lang w:val="en-US" w:eastAsia="zh-CN"/>
        </w:rPr>
        <w:t>县直相关部门和</w:t>
      </w:r>
      <w:r>
        <w:rPr>
          <w:rFonts w:hint="eastAsia" w:eastAsia="仿宋_GB2312"/>
          <w:sz w:val="32"/>
          <w:szCs w:val="32"/>
          <w:lang w:eastAsia="zh-CN"/>
        </w:rPr>
        <w:t>各乡镇汇总填写《</w:t>
      </w:r>
      <w:r>
        <w:rPr>
          <w:rFonts w:hint="eastAsia" w:eastAsia="仿宋_GB2312"/>
          <w:sz w:val="32"/>
          <w:szCs w:val="32"/>
          <w:lang w:val="en-US" w:eastAsia="zh-CN"/>
        </w:rPr>
        <w:t>2024年</w:t>
      </w:r>
      <w:r>
        <w:rPr>
          <w:rFonts w:eastAsia="仿宋_GB2312"/>
          <w:sz w:val="32"/>
          <w:szCs w:val="32"/>
        </w:rPr>
        <w:t>加拿大一枝黄花</w:t>
      </w:r>
      <w:r>
        <w:rPr>
          <w:rFonts w:hint="eastAsia" w:eastAsia="仿宋_GB2312"/>
          <w:sz w:val="32"/>
          <w:szCs w:val="32"/>
          <w:lang w:eastAsia="zh-CN"/>
        </w:rPr>
        <w:t>春季防控情况统计表》（加盖公章）</w:t>
      </w:r>
      <w:r>
        <w:rPr>
          <w:rFonts w:hint="eastAsia" w:eastAsia="仿宋_GB2312"/>
          <w:sz w:val="32"/>
          <w:szCs w:val="32"/>
          <w:lang w:val="en-US" w:eastAsia="zh-CN"/>
        </w:rPr>
        <w:t>及相关照片、电子版等</w:t>
      </w:r>
      <w:r>
        <w:rPr>
          <w:rFonts w:hint="eastAsia" w:eastAsia="仿宋_GB2312"/>
          <w:sz w:val="32"/>
          <w:szCs w:val="32"/>
          <w:lang w:eastAsia="zh-CN"/>
        </w:rPr>
        <w:t>，于</w:t>
      </w:r>
      <w:r>
        <w:rPr>
          <w:rFonts w:hint="eastAsia" w:eastAsia="仿宋_GB2312"/>
          <w:sz w:val="32"/>
          <w:szCs w:val="32"/>
          <w:lang w:val="en-US" w:eastAsia="zh-CN"/>
        </w:rPr>
        <w:t>5月25日前报县农业农村水利局。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eastAsia="仿宋_GB2312"/>
          <w:sz w:val="32"/>
          <w:szCs w:val="32"/>
          <w:lang w:val="en-US" w:eastAsia="zh-CN"/>
        </w:rPr>
      </w:pPr>
      <w:r>
        <w:rPr>
          <w:rFonts w:eastAsia="仿宋_GB2312"/>
          <w:sz w:val="32"/>
          <w:szCs w:val="32"/>
        </w:rPr>
        <w:t>联系人：</w:t>
      </w:r>
      <w:r>
        <w:rPr>
          <w:rFonts w:hint="eastAsia" w:eastAsia="仿宋_GB2312"/>
          <w:sz w:val="32"/>
          <w:szCs w:val="32"/>
          <w:lang w:val="en-US" w:eastAsia="zh-CN"/>
        </w:rPr>
        <w:t>徐佳</w:t>
      </w:r>
      <w:r>
        <w:rPr>
          <w:rFonts w:eastAsia="仿宋_GB2312"/>
          <w:sz w:val="32"/>
          <w:szCs w:val="32"/>
        </w:rPr>
        <w:t xml:space="preserve"> ；联系电话：</w:t>
      </w:r>
      <w:r>
        <w:rPr>
          <w:rFonts w:hint="eastAsia" w:eastAsia="仿宋_GB2312"/>
          <w:sz w:val="32"/>
          <w:szCs w:val="32"/>
          <w:lang w:val="en-US" w:eastAsia="zh-CN"/>
        </w:rPr>
        <w:t>15068900927。</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附件：2024年</w:t>
      </w:r>
      <w:r>
        <w:rPr>
          <w:rFonts w:eastAsia="仿宋_GB2312"/>
          <w:sz w:val="32"/>
          <w:szCs w:val="32"/>
        </w:rPr>
        <w:t>加拿大一枝黄花</w:t>
      </w:r>
      <w:r>
        <w:rPr>
          <w:rFonts w:hint="eastAsia" w:eastAsia="仿宋_GB2312"/>
          <w:sz w:val="32"/>
          <w:szCs w:val="32"/>
          <w:lang w:eastAsia="zh-CN"/>
        </w:rPr>
        <w:t>春季防控情况统计表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eastAsia="仿宋_GB2312"/>
          <w:sz w:val="32"/>
          <w:szCs w:val="32"/>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rPr>
          <w:rFonts w:hint="eastAsia" w:eastAsia="仿宋_GB2312" w:cs="Times New Roman"/>
          <w:snapToGrid w:val="0"/>
          <w:kern w:val="2"/>
          <w:sz w:val="32"/>
          <w:szCs w:val="32"/>
          <w:lang w:val="en-US" w:eastAsia="zh-CN" w:bidi="ar-SA"/>
        </w:rPr>
      </w:pPr>
      <w:r>
        <w:rPr>
          <w:rFonts w:hint="eastAsia" w:eastAsia="仿宋_GB2312" w:cs="Times New Roman"/>
          <w:snapToGrid w:val="0"/>
          <w:kern w:val="2"/>
          <w:sz w:val="32"/>
          <w:szCs w:val="32"/>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4480" w:firstLineChars="1400"/>
        <w:textAlignment w:val="auto"/>
        <w:rPr>
          <w:rFonts w:ascii="Times New Roman" w:hAnsi="Times New Roman" w:eastAsia="仿宋_GB2312" w:cs="Times New Roman"/>
          <w:snapToGrid w:val="0"/>
          <w:kern w:val="2"/>
          <w:sz w:val="32"/>
          <w:szCs w:val="32"/>
          <w:lang w:val="en-US" w:eastAsia="zh-CN" w:bidi="ar-SA"/>
        </w:rPr>
      </w:pPr>
      <w:r>
        <w:rPr>
          <w:rFonts w:hint="eastAsia" w:eastAsia="仿宋_GB2312" w:cs="Times New Roman"/>
          <w:snapToGrid w:val="0"/>
          <w:kern w:val="2"/>
          <w:sz w:val="32"/>
          <w:szCs w:val="32"/>
          <w:lang w:val="en-US" w:eastAsia="zh-CN" w:bidi="ar-SA"/>
        </w:rPr>
        <w:t>休宁县</w:t>
      </w:r>
      <w:r>
        <w:rPr>
          <w:rFonts w:hint="eastAsia" w:ascii="Times New Roman" w:hAnsi="Times New Roman" w:eastAsia="仿宋_GB2312" w:cs="Times New Roman"/>
          <w:snapToGrid w:val="0"/>
          <w:kern w:val="2"/>
          <w:sz w:val="32"/>
          <w:szCs w:val="32"/>
          <w:lang w:val="en-US" w:eastAsia="zh-CN" w:bidi="ar-SA"/>
        </w:rPr>
        <w:t>农业农村</w:t>
      </w:r>
      <w:r>
        <w:rPr>
          <w:rFonts w:hint="eastAsia" w:eastAsia="仿宋_GB2312" w:cs="Times New Roman"/>
          <w:snapToGrid w:val="0"/>
          <w:kern w:val="2"/>
          <w:sz w:val="32"/>
          <w:szCs w:val="32"/>
          <w:lang w:val="en-US" w:eastAsia="zh-CN" w:bidi="ar-SA"/>
        </w:rPr>
        <w:t>水利</w:t>
      </w:r>
      <w:r>
        <w:rPr>
          <w:rFonts w:hint="eastAsia" w:ascii="Times New Roman" w:hAnsi="Times New Roman" w:eastAsia="仿宋_GB2312" w:cs="Times New Roman"/>
          <w:snapToGrid w:val="0"/>
          <w:kern w:val="2"/>
          <w:sz w:val="32"/>
          <w:szCs w:val="32"/>
          <w:lang w:val="en-US" w:eastAsia="zh-CN" w:bidi="ar-SA"/>
        </w:rPr>
        <w:t>局</w:t>
      </w:r>
      <w:r>
        <w:rPr>
          <w:rFonts w:ascii="Times New Roman" w:hAnsi="Times New Roman" w:eastAsia="仿宋_GB2312" w:cs="Times New Roman"/>
          <w:snapToGrid w:val="0"/>
          <w:kern w:val="2"/>
          <w:sz w:val="32"/>
          <w:szCs w:val="32"/>
          <w:lang w:val="en-US" w:eastAsia="zh-CN" w:bidi="ar-SA"/>
        </w:rPr>
        <w:t xml:space="preserve">  </w:t>
      </w:r>
    </w:p>
    <w:p>
      <w:pPr>
        <w:keepNext w:val="0"/>
        <w:keepLines w:val="0"/>
        <w:pageBreakBefore w:val="0"/>
        <w:widowControl w:val="0"/>
        <w:tabs>
          <w:tab w:val="left" w:pos="8715"/>
        </w:tabs>
        <w:kinsoku/>
        <w:wordWrap/>
        <w:overflowPunct/>
        <w:topLinePunct w:val="0"/>
        <w:autoSpaceDE/>
        <w:autoSpaceDN/>
        <w:bidi w:val="0"/>
        <w:adjustRightInd/>
        <w:snapToGrid/>
        <w:spacing w:line="560" w:lineRule="exact"/>
        <w:ind w:right="0" w:rightChars="0"/>
        <w:textAlignment w:val="auto"/>
        <w:rPr>
          <w:rFonts w:eastAsia="方正小标宋简体"/>
          <w:sz w:val="44"/>
          <w:szCs w:val="44"/>
        </w:rPr>
      </w:pPr>
      <w:r>
        <w:rPr>
          <w:rFonts w:hint="eastAsia" w:eastAsia="仿宋_GB2312" w:cs="Times New Roman"/>
          <w:snapToGrid w:val="0"/>
          <w:kern w:val="2"/>
          <w:sz w:val="32"/>
          <w:szCs w:val="32"/>
          <w:lang w:val="en-US" w:eastAsia="zh-CN" w:bidi="ar-SA"/>
        </w:rPr>
        <w:t xml:space="preserve">　　　　　　　　　　　        </w:t>
      </w:r>
      <w:r>
        <w:rPr>
          <w:rFonts w:ascii="Times New Roman" w:hAnsi="Times New Roman" w:eastAsia="仿宋_GB2312" w:cs="Times New Roman"/>
          <w:snapToGrid w:val="0"/>
          <w:kern w:val="2"/>
          <w:sz w:val="32"/>
          <w:szCs w:val="32"/>
          <w:lang w:val="en-US" w:eastAsia="zh-CN" w:bidi="ar-SA"/>
        </w:rPr>
        <w:t>202</w:t>
      </w:r>
      <w:r>
        <w:rPr>
          <w:rFonts w:hint="eastAsia" w:ascii="Times New Roman" w:hAnsi="Times New Roman" w:eastAsia="仿宋_GB2312" w:cs="Times New Roman"/>
          <w:snapToGrid w:val="0"/>
          <w:kern w:val="2"/>
          <w:sz w:val="32"/>
          <w:szCs w:val="32"/>
          <w:lang w:val="en-US" w:eastAsia="zh-CN" w:bidi="ar-SA"/>
        </w:rPr>
        <w:t>4</w:t>
      </w:r>
      <w:r>
        <w:rPr>
          <w:rFonts w:ascii="Times New Roman" w:hAnsi="Times New Roman" w:eastAsia="仿宋_GB2312" w:cs="Times New Roman"/>
          <w:snapToGrid w:val="0"/>
          <w:kern w:val="2"/>
          <w:sz w:val="32"/>
          <w:szCs w:val="32"/>
          <w:lang w:val="en-US" w:eastAsia="zh-CN" w:bidi="ar-SA"/>
        </w:rPr>
        <w:t>年</w:t>
      </w:r>
      <w:r>
        <w:rPr>
          <w:rFonts w:hint="eastAsia" w:ascii="Times New Roman" w:hAnsi="Times New Roman" w:eastAsia="仿宋_GB2312" w:cs="Times New Roman"/>
          <w:snapToGrid w:val="0"/>
          <w:kern w:val="2"/>
          <w:sz w:val="32"/>
          <w:szCs w:val="32"/>
          <w:lang w:val="en-US" w:eastAsia="zh-CN" w:bidi="ar-SA"/>
        </w:rPr>
        <w:t>4</w:t>
      </w:r>
      <w:r>
        <w:rPr>
          <w:rFonts w:ascii="Times New Roman" w:hAnsi="Times New Roman" w:eastAsia="仿宋_GB2312" w:cs="Times New Roman"/>
          <w:snapToGrid w:val="0"/>
          <w:kern w:val="2"/>
          <w:sz w:val="32"/>
          <w:szCs w:val="32"/>
          <w:lang w:val="en-US" w:eastAsia="zh-CN" w:bidi="ar-SA"/>
        </w:rPr>
        <w:t>月</w:t>
      </w:r>
      <w:r>
        <w:rPr>
          <w:rFonts w:hint="eastAsia" w:eastAsia="仿宋_GB2312" w:cs="Times New Roman"/>
          <w:snapToGrid w:val="0"/>
          <w:kern w:val="2"/>
          <w:sz w:val="32"/>
          <w:szCs w:val="32"/>
          <w:lang w:val="en-US" w:eastAsia="zh-CN" w:bidi="ar-SA"/>
        </w:rPr>
        <w:t>19</w:t>
      </w:r>
      <w:r>
        <w:rPr>
          <w:rFonts w:ascii="Times New Roman" w:hAnsi="Times New Roman" w:eastAsia="仿宋_GB2312" w:cs="Times New Roman"/>
          <w:snapToGrid w:val="0"/>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279" w:leftChars="152" w:right="0" w:rightChars="0" w:hanging="960" w:hangingChars="300"/>
        <w:textAlignment w:val="auto"/>
        <w:rPr>
          <w:rFonts w:hint="eastAsia" w:eastAsia="仿宋_GB2312"/>
          <w:sz w:val="32"/>
          <w:szCs w:val="32"/>
          <w:lang w:eastAsia="zh-CN"/>
        </w:rPr>
        <w:sectPr>
          <w:footerReference r:id="rId4" w:type="first"/>
          <w:footerReference r:id="rId3" w:type="default"/>
          <w:pgSz w:w="11906" w:h="16838"/>
          <w:pgMar w:top="1871" w:right="1531" w:bottom="1701" w:left="1531" w:header="851" w:footer="992" w:gutter="0"/>
          <w:pgNumType w:fmt="numberInDash"/>
          <w:cols w:space="425" w:num="1"/>
          <w:formProt w:val="1"/>
          <w:titlePg/>
          <w:docGrid w:type="lines" w:linePitch="312" w:charSpace="0"/>
        </w:sectPr>
      </w:pPr>
      <w:r>
        <w:rPr>
          <w:rFonts w:hint="eastAsia" w:eastAsia="仿宋_GB2312"/>
          <w:sz w:val="32"/>
          <w:szCs w:val="32"/>
          <w:lang w:val="en-US" w:eastAsia="zh-CN"/>
        </w:rPr>
        <w:t>抄送：</w:t>
      </w:r>
      <w:r>
        <w:rPr>
          <w:rFonts w:hint="eastAsia" w:eastAsia="仿宋_GB2312"/>
          <w:sz w:val="32"/>
          <w:szCs w:val="32"/>
          <w:lang w:eastAsia="zh-CN"/>
        </w:rPr>
        <w:t>市农业农村局，</w:t>
      </w:r>
      <w:r>
        <w:rPr>
          <w:rFonts w:hint="eastAsia" w:eastAsia="仿宋_GB2312"/>
          <w:sz w:val="32"/>
          <w:szCs w:val="32"/>
          <w:lang w:val="en-US" w:eastAsia="zh-CN"/>
        </w:rPr>
        <w:t>县</w:t>
      </w:r>
      <w:r>
        <w:rPr>
          <w:rFonts w:hint="eastAsia" w:eastAsia="仿宋_GB2312"/>
          <w:sz w:val="32"/>
          <w:szCs w:val="32"/>
          <w:lang w:eastAsia="zh-CN"/>
        </w:rPr>
        <w:t>生态环境分局、</w:t>
      </w:r>
      <w:r>
        <w:rPr>
          <w:rFonts w:hint="eastAsia" w:eastAsia="仿宋_GB2312"/>
          <w:sz w:val="32"/>
          <w:szCs w:val="32"/>
          <w:lang w:val="en-US" w:eastAsia="zh-CN"/>
        </w:rPr>
        <w:t>县</w:t>
      </w:r>
      <w:r>
        <w:rPr>
          <w:rFonts w:hint="eastAsia" w:eastAsia="仿宋_GB2312"/>
          <w:sz w:val="32"/>
          <w:szCs w:val="32"/>
          <w:lang w:eastAsia="zh-CN"/>
        </w:rPr>
        <w:t>林业局、</w:t>
      </w:r>
      <w:r>
        <w:rPr>
          <w:rFonts w:hint="eastAsia" w:eastAsia="仿宋_GB2312"/>
          <w:sz w:val="32"/>
          <w:szCs w:val="32"/>
          <w:lang w:val="en-US" w:eastAsia="zh-CN"/>
        </w:rPr>
        <w:t>县</w:t>
      </w:r>
      <w:r>
        <w:rPr>
          <w:rFonts w:hint="eastAsia" w:eastAsia="仿宋_GB2312"/>
          <w:sz w:val="32"/>
          <w:szCs w:val="32"/>
          <w:lang w:eastAsia="zh-CN"/>
        </w:rPr>
        <w:t>住建局、</w:t>
      </w:r>
      <w:r>
        <w:rPr>
          <w:rFonts w:hint="eastAsia" w:eastAsia="仿宋_GB2312"/>
          <w:sz w:val="32"/>
          <w:szCs w:val="32"/>
          <w:lang w:val="en-US" w:eastAsia="zh-CN"/>
        </w:rPr>
        <w:t>县</w:t>
      </w:r>
      <w:r>
        <w:rPr>
          <w:rFonts w:hint="eastAsia" w:eastAsia="仿宋_GB2312"/>
          <w:sz w:val="32"/>
          <w:szCs w:val="32"/>
          <w:lang w:eastAsia="zh-CN"/>
        </w:rPr>
        <w:t>交通运输局、</w:t>
      </w:r>
      <w:r>
        <w:rPr>
          <w:rFonts w:hint="eastAsia" w:eastAsia="仿宋_GB2312" w:cs="Times New Roman"/>
          <w:snapToGrid w:val="0"/>
          <w:kern w:val="2"/>
          <w:sz w:val="32"/>
          <w:szCs w:val="32"/>
          <w:lang w:val="en-US" w:eastAsia="zh-CN" w:bidi="ar-SA"/>
        </w:rPr>
        <w:t>县</w:t>
      </w:r>
      <w:r>
        <w:rPr>
          <w:rFonts w:hint="eastAsia" w:ascii="Times New Roman" w:hAnsi="Times New Roman" w:eastAsia="仿宋_GB2312" w:cs="Times New Roman"/>
          <w:snapToGrid w:val="0"/>
          <w:kern w:val="2"/>
          <w:sz w:val="32"/>
          <w:szCs w:val="32"/>
          <w:lang w:val="en-US" w:eastAsia="zh-CN" w:bidi="ar-SA"/>
        </w:rPr>
        <w:t>文旅</w:t>
      </w:r>
      <w:r>
        <w:rPr>
          <w:rFonts w:hint="eastAsia" w:eastAsia="仿宋_GB2312" w:cs="Times New Roman"/>
          <w:snapToGrid w:val="0"/>
          <w:kern w:val="2"/>
          <w:sz w:val="32"/>
          <w:szCs w:val="32"/>
          <w:lang w:val="en-US" w:eastAsia="zh-CN" w:bidi="ar-SA"/>
        </w:rPr>
        <w:t>体局</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b w:val="0"/>
          <w:bCs w:val="0"/>
          <w:sz w:val="32"/>
          <w:szCs w:val="32"/>
          <w:lang w:val="en-US" w:eastAsia="zh-CN"/>
        </w:rPr>
      </w:pPr>
      <w:r>
        <w:rPr>
          <w:rFonts w:hint="eastAsia" w:eastAsia="仿宋_GB2312"/>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2024年</w:t>
      </w:r>
      <w:r>
        <w:rPr>
          <w:rFonts w:hint="eastAsia" w:ascii="方正小标宋简体" w:hAnsi="方正小标宋简体" w:eastAsia="方正小标宋简体" w:cs="方正小标宋简体"/>
          <w:sz w:val="44"/>
          <w:szCs w:val="44"/>
        </w:rPr>
        <w:t>加拿大一枝黄花</w:t>
      </w:r>
      <w:r>
        <w:rPr>
          <w:rFonts w:hint="eastAsia" w:ascii="方正小标宋简体" w:hAnsi="方正小标宋简体" w:eastAsia="方正小标宋简体" w:cs="方正小标宋简体"/>
          <w:sz w:val="44"/>
          <w:szCs w:val="44"/>
          <w:lang w:eastAsia="zh-CN"/>
        </w:rPr>
        <w:t>春季防控情况统计表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1457"/>
        <w:gridCol w:w="1457"/>
        <w:gridCol w:w="1457"/>
        <w:gridCol w:w="1457"/>
        <w:gridCol w:w="1457"/>
        <w:gridCol w:w="1457"/>
        <w:gridCol w:w="1457"/>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45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乡镇</w:t>
            </w:r>
          </w:p>
        </w:tc>
        <w:tc>
          <w:tcPr>
            <w:tcW w:w="145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发生面积（亩）</w:t>
            </w:r>
          </w:p>
        </w:tc>
        <w:tc>
          <w:tcPr>
            <w:tcW w:w="145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春季防控面积（亩）</w:t>
            </w:r>
          </w:p>
        </w:tc>
        <w:tc>
          <w:tcPr>
            <w:tcW w:w="145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主要分布地点</w:t>
            </w:r>
          </w:p>
        </w:tc>
        <w:tc>
          <w:tcPr>
            <w:tcW w:w="145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防控主要举措</w:t>
            </w:r>
          </w:p>
        </w:tc>
        <w:tc>
          <w:tcPr>
            <w:tcW w:w="145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联防联控情况</w:t>
            </w:r>
          </w:p>
        </w:tc>
        <w:tc>
          <w:tcPr>
            <w:tcW w:w="437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举办灭除活动情况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45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45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45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45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45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45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活动名称</w:t>
            </w: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灭除总面积（亩）</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参与总人次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sectPr>
      <w:pgSz w:w="16838" w:h="11906" w:orient="landscape"/>
      <w:pgMar w:top="1531" w:right="1871" w:bottom="1531" w:left="1701" w:header="851" w:footer="1418" w:gutter="0"/>
      <w:pgNumType w:fmt="numberInDash"/>
      <w:cols w:space="425" w:num="1"/>
      <w:formProt w:val="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YTcyMWIwMGQ4NTA5YmM1ZThmYmUzOWMxZDc3MWQifQ=="/>
  </w:docVars>
  <w:rsids>
    <w:rsidRoot w:val="1C7D796F"/>
    <w:rsid w:val="12166C78"/>
    <w:rsid w:val="1C7D796F"/>
    <w:rsid w:val="64162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qFormat/>
    <w:uiPriority w:val="0"/>
    <w:pPr>
      <w:spacing w:after="120"/>
      <w:ind w:left="420" w:leftChars="200"/>
    </w:p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2024-04-18T23:42:00Z</dcterms:created>
  <dc:creator>Administrator</dc:creator>
  <cp:lastModifiedBy>汪钰婷</cp:lastModifiedBy>
  <dcterms:modified xsi:type="dcterms:W3CDTF">2024-04-24T02:17:35Z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75EB50C9B7C441BAB530178186BB6AC5_11</vt:lpwstr>
  </property>
</Properties>
</file>