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2024年市级城乡医疗救助补助资金分配表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3"/>
        <w:tblW w:w="83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3203"/>
        <w:gridCol w:w="3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区县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市级配套资金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屯溪区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徽州区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黄山区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歙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218.40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休宁县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107.40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祁门县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109.40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4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599.00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before="130" w:line="184" w:lineRule="auto"/>
        <w:ind w:firstLine="74"/>
        <w:outlineLvl w:val="0"/>
        <w:rPr>
          <w:rFonts w:hint="eastAsia" w:ascii="方正黑体_GBK" w:hAnsi="方正黑体_GBK" w:eastAsia="方正黑体_GBK" w:cs="方正黑体_GBK"/>
          <w:spacing w:val="-9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9"/>
          <w:sz w:val="32"/>
          <w:szCs w:val="32"/>
        </w:rPr>
        <w:t>附件2</w:t>
      </w:r>
      <w:r>
        <w:rPr>
          <w:rFonts w:hint="eastAsia" w:ascii="方正黑体_GBK" w:hAnsi="方正黑体_GBK" w:eastAsia="方正黑体_GBK" w:cs="方正黑体_GBK"/>
          <w:spacing w:val="-9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4"/>
        <w:textAlignment w:val="auto"/>
        <w:outlineLvl w:val="0"/>
        <w:rPr>
          <w:rFonts w:hint="eastAsia" w:ascii="方正黑体_GBK" w:hAnsi="方正黑体_GBK" w:eastAsia="方正黑体_GBK" w:cs="方正黑体_GBK"/>
          <w:spacing w:val="-9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18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医疗救助补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 w:val="0"/>
          <w:color w:val="auto"/>
          <w:kern w:val="0"/>
          <w:sz w:val="36"/>
          <w:szCs w:val="36"/>
          <w:u w:val="none"/>
          <w:lang w:val="en-US" w:eastAsia="zh-CN" w:bidi="ar"/>
        </w:rPr>
        <w:t>助资金(城乡医疗救助补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助资金）           区域绩效目标表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23"/>
          <w:szCs w:val="23"/>
        </w:rPr>
      </w:pPr>
      <w:r>
        <w:rPr>
          <w:rFonts w:hint="eastAsia" w:ascii="方正楷体_GBK" w:hAnsi="方正楷体_GBK" w:eastAsia="方正楷体_GBK" w:cs="方正楷体_GBK"/>
          <w:spacing w:val="18"/>
          <w:sz w:val="23"/>
          <w:szCs w:val="23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18"/>
          <w:sz w:val="23"/>
          <w:szCs w:val="23"/>
        </w:rPr>
        <w:t>(202</w:t>
      </w:r>
      <w:r>
        <w:rPr>
          <w:rFonts w:hint="eastAsia" w:ascii="方正楷体_GBK" w:hAnsi="方正楷体_GBK" w:eastAsia="方正楷体_GBK" w:cs="方正楷体_GBK"/>
          <w:spacing w:val="18"/>
          <w:sz w:val="23"/>
          <w:szCs w:val="23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pacing w:val="18"/>
          <w:sz w:val="23"/>
          <w:szCs w:val="23"/>
        </w:rPr>
        <w:t>年度)</w:t>
      </w:r>
    </w:p>
    <w:p>
      <w:pPr>
        <w:spacing w:line="72" w:lineRule="exact"/>
        <w:rPr>
          <w:rFonts w:hint="default" w:ascii="Times New Roman" w:hAnsi="Times New Roman" w:cs="Times New Roman"/>
        </w:rPr>
      </w:pPr>
    </w:p>
    <w:tbl>
      <w:tblPr>
        <w:tblStyle w:val="3"/>
        <w:tblW w:w="8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810"/>
        <w:gridCol w:w="1180"/>
        <w:gridCol w:w="1156"/>
        <w:gridCol w:w="1046"/>
        <w:gridCol w:w="3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转移支付项目名称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医疗救助补助资金(城多医疗救助补助资金)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地区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XX县/区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市级财政部门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XX县/区财政局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XX县/区医保局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资金情况 (万元)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4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4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4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年度目标任务</w:t>
            </w:r>
          </w:p>
        </w:tc>
        <w:tc>
          <w:tcPr>
            <w:tcW w:w="73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目标是困难联众参保率100%，住院教助和门诊救助应救尽救，以保障困难群众基本医疗权益为目标，最大限度减轻困难群众医疗支出负担。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73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医疗教助对象人次规模</w:t>
            </w:r>
          </w:p>
        </w:tc>
        <w:tc>
          <w:tcPr>
            <w:tcW w:w="3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符合救助条件的对象按规定纳入教助范围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对教助对象参保个人缴费部分实行分类资助</w:t>
            </w:r>
          </w:p>
        </w:tc>
        <w:tc>
          <w:tcPr>
            <w:tcW w:w="3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特困人员定额资助90%，低保对象定额资助75%，返贫致贫人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口定额资助70%，脱贫不稳定、纳入农村低收入人口监测范围的人口定额资助60%，因病致贫重病患者定额资助50%。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重点教助对象政策范围内住院自付费年度限额内救助比率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≥70%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医疗救助对象覆盖范围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不低于上年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困难群众看病就医方便程度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稳步拓展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困难群众就医负担减轻程度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有效缓解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对健全社会救助体系的影响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对健全医疗保障体系的作用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服务对象                  满意度指标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工作满意度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≥85%</w:t>
            </w:r>
          </w:p>
        </w:tc>
      </w:tr>
    </w:tbl>
    <w:p/>
    <w:sectPr>
      <w:pgSz w:w="11906" w:h="16838"/>
      <w:pgMar w:top="1240" w:right="1800" w:bottom="12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5C35"/>
    <w:rsid w:val="23E2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2024-05-28T03:40:00Z</dcterms:created>
  <dc:creator>市财政局发文员</dc:creator>
  <cp:lastModifiedBy>市财政局发文员</cp:lastModifiedBy>
  <dcterms:modified xsi:type="dcterms:W3CDTF">2024-05-28T03:44:36Z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