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sz w:val="32"/>
          <w:szCs w:val="32"/>
          <w:lang w:eastAsia="zh-CN"/>
        </w:rPr>
      </w:pPr>
      <w:r>
        <w:rPr>
          <w:rFonts w:ascii="黑体" w:hAnsi="黑体" w:eastAsia="黑体" w:cs="仿宋_GB2312"/>
          <w:sz w:val="32"/>
          <w:szCs w:val="32"/>
        </w:rPr>
        <w:t>附件</w:t>
      </w:r>
      <w:r>
        <w:rPr>
          <w:rFonts w:hint="eastAsia" w:ascii="黑体" w:hAnsi="黑体" w:eastAsia="黑体" w:cs="仿宋_GB2312"/>
          <w:sz w:val="32"/>
          <w:szCs w:val="32"/>
          <w:lang w:val="en-US" w:eastAsia="zh-CN"/>
        </w:rPr>
        <w:t>5</w:t>
      </w:r>
    </w:p>
    <w:p>
      <w:pPr>
        <w:adjustRightInd w:val="0"/>
        <w:snapToGrid w:val="0"/>
        <w:spacing w:line="600" w:lineRule="exact"/>
        <w:ind w:firstLine="880" w:firstLineChars="200"/>
        <w:jc w:val="both"/>
        <w:rPr>
          <w:rFonts w:hint="eastAsia" w:ascii="方正小标宋_GBK" w:hAnsi="Arial" w:eastAsia="方正小标宋_GBK" w:cs="Arial"/>
          <w:sz w:val="44"/>
          <w:szCs w:val="44"/>
          <w:lang w:val="en-US" w:eastAsia="zh-CN"/>
        </w:rPr>
      </w:pPr>
      <w:r>
        <w:rPr>
          <w:rFonts w:hint="eastAsia" w:ascii="方正小标宋_GBK" w:hAnsi="Arial" w:eastAsia="方正小标宋_GBK" w:cs="Arial"/>
          <w:sz w:val="44"/>
          <w:szCs w:val="44"/>
        </w:rPr>
        <w:t>板桥乡</w:t>
      </w:r>
      <w:r>
        <w:rPr>
          <w:rFonts w:hint="eastAsia" w:ascii="方正小标宋_GBK" w:hAnsi="Arial" w:eastAsia="方正小标宋_GBK" w:cs="Arial"/>
          <w:sz w:val="44"/>
          <w:szCs w:val="44"/>
          <w:lang w:val="en-US" w:eastAsia="zh-CN"/>
        </w:rPr>
        <w:t>乡镇均衡性转移支付补助项目</w:t>
      </w:r>
    </w:p>
    <w:p>
      <w:pPr>
        <w:adjustRightInd w:val="0"/>
        <w:snapToGrid w:val="0"/>
        <w:spacing w:line="600" w:lineRule="exact"/>
        <w:ind w:firstLine="880" w:firstLineChars="200"/>
        <w:jc w:val="center"/>
        <w:rPr>
          <w:rFonts w:hint="eastAsia" w:ascii="方正小标宋_GBK" w:hAnsi="Arial" w:eastAsia="方正小标宋_GBK" w:cs="Arial"/>
          <w:sz w:val="44"/>
          <w:szCs w:val="44"/>
        </w:rPr>
      </w:pPr>
      <w:r>
        <w:rPr>
          <w:rFonts w:hint="eastAsia" w:ascii="方正小标宋_GBK" w:hAnsi="Arial" w:eastAsia="方正小标宋_GBK" w:cs="Arial"/>
          <w:sz w:val="44"/>
          <w:szCs w:val="44"/>
          <w:lang w:val="en-US" w:eastAsia="zh-CN"/>
        </w:rPr>
        <w:t>绩效评价报告</w:t>
      </w:r>
    </w:p>
    <w:p>
      <w:pPr>
        <w:spacing w:line="540" w:lineRule="exact"/>
        <w:jc w:val="center"/>
        <w:rPr>
          <w:rFonts w:hint="eastAsia" w:ascii="方正小标宋_GBK" w:hAnsi="Arial" w:eastAsia="方正小标宋_GBK" w:cs="Arial"/>
          <w:sz w:val="44"/>
          <w:szCs w:val="44"/>
        </w:rPr>
      </w:pPr>
    </w:p>
    <w:p>
      <w:pPr>
        <w:numPr>
          <w:ilvl w:val="0"/>
          <w:numId w:val="1"/>
        </w:numPr>
        <w:spacing w:line="540" w:lineRule="exact"/>
        <w:ind w:left="120" w:leftChars="0" w:firstLine="600" w:firstLineChars="0"/>
        <w:rPr>
          <w:rFonts w:hint="eastAsia" w:ascii="宋体" w:cs="宋体"/>
          <w:i w:val="0"/>
          <w:iCs w:val="0"/>
          <w:caps w:val="0"/>
          <w:color w:val="333333"/>
          <w:spacing w:val="0"/>
          <w:sz w:val="28"/>
          <w:szCs w:val="28"/>
          <w:shd w:val="clear" w:fill="FFFFFF"/>
          <w:lang w:val="en-US" w:eastAsia="zh-CN"/>
        </w:rPr>
      </w:pPr>
      <w:r>
        <w:rPr>
          <w:rFonts w:hint="eastAsia" w:ascii="黑体" w:hAnsi="黑体" w:eastAsia="黑体" w:cs="黑体"/>
          <w:sz w:val="32"/>
          <w:szCs w:val="32"/>
        </w:rPr>
        <w:t>项目</w:t>
      </w:r>
      <w:r>
        <w:rPr>
          <w:rFonts w:ascii="黑体" w:hAnsi="黑体" w:eastAsia="黑体" w:cs="黑体"/>
          <w:sz w:val="32"/>
          <w:szCs w:val="32"/>
        </w:rPr>
        <w:t>基本情况</w:t>
      </w:r>
    </w:p>
    <w:p>
      <w:pPr>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firstLine="560" w:firstLineChars="200"/>
        <w:jc w:val="left"/>
        <w:textAlignment w:val="auto"/>
        <w:rPr>
          <w:rFonts w:hint="eastAsia"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板桥乡乡镇均衡性转移支付补助项目主要是保障乡镇基本运行运转安排的项目，</w:t>
      </w:r>
      <w:r>
        <w:rPr>
          <w:rFonts w:hint="default" w:ascii="宋体" w:cs="宋体"/>
          <w:i w:val="0"/>
          <w:iCs w:val="0"/>
          <w:caps w:val="0"/>
          <w:color w:val="333333"/>
          <w:spacing w:val="0"/>
          <w:sz w:val="28"/>
          <w:szCs w:val="28"/>
          <w:shd w:val="clear" w:fill="FFFFFF"/>
          <w:lang w:val="en-US" w:eastAsia="zh-CN"/>
        </w:rPr>
        <w:t>202</w:t>
      </w:r>
      <w:r>
        <w:rPr>
          <w:rFonts w:hint="eastAsia" w:ascii="宋体" w:cs="宋体"/>
          <w:i w:val="0"/>
          <w:iCs w:val="0"/>
          <w:caps w:val="0"/>
          <w:color w:val="333333"/>
          <w:spacing w:val="0"/>
          <w:sz w:val="28"/>
          <w:szCs w:val="28"/>
          <w:shd w:val="clear" w:fill="FFFFFF"/>
          <w:lang w:val="en-US" w:eastAsia="zh-CN"/>
        </w:rPr>
        <w:t>3</w:t>
      </w:r>
      <w:r>
        <w:rPr>
          <w:rFonts w:hint="default" w:ascii="宋体" w:cs="宋体"/>
          <w:i w:val="0"/>
          <w:iCs w:val="0"/>
          <w:caps w:val="0"/>
          <w:color w:val="333333"/>
          <w:spacing w:val="0"/>
          <w:sz w:val="28"/>
          <w:szCs w:val="28"/>
          <w:shd w:val="clear" w:fill="FFFFFF"/>
          <w:lang w:val="en-US" w:eastAsia="zh-CN"/>
        </w:rPr>
        <w:t>年项目</w:t>
      </w:r>
      <w:r>
        <w:rPr>
          <w:rFonts w:hint="eastAsia" w:ascii="宋体" w:cs="宋体"/>
          <w:i w:val="0"/>
          <w:iCs w:val="0"/>
          <w:caps w:val="0"/>
          <w:color w:val="333333"/>
          <w:spacing w:val="0"/>
          <w:sz w:val="28"/>
          <w:szCs w:val="28"/>
          <w:shd w:val="clear" w:fill="FFFFFF"/>
          <w:lang w:val="en-US" w:eastAsia="zh-CN"/>
        </w:rPr>
        <w:t>年初</w:t>
      </w:r>
      <w:r>
        <w:rPr>
          <w:rFonts w:hint="default" w:ascii="宋体" w:cs="宋体"/>
          <w:i w:val="0"/>
          <w:iCs w:val="0"/>
          <w:caps w:val="0"/>
          <w:color w:val="333333"/>
          <w:spacing w:val="0"/>
          <w:sz w:val="28"/>
          <w:szCs w:val="28"/>
          <w:shd w:val="clear" w:fill="FFFFFF"/>
          <w:lang w:val="en-US" w:eastAsia="zh-CN"/>
        </w:rPr>
        <w:t>预算资金</w:t>
      </w:r>
      <w:r>
        <w:rPr>
          <w:rFonts w:hint="eastAsia" w:ascii="宋体" w:cs="宋体"/>
          <w:i w:val="0"/>
          <w:iCs w:val="0"/>
          <w:caps w:val="0"/>
          <w:color w:val="333333"/>
          <w:spacing w:val="0"/>
          <w:sz w:val="28"/>
          <w:szCs w:val="28"/>
          <w:shd w:val="clear" w:fill="FFFFFF"/>
          <w:lang w:val="en-US" w:eastAsia="zh-CN"/>
        </w:rPr>
        <w:t>安排</w:t>
      </w:r>
      <w:r>
        <w:rPr>
          <w:rFonts w:hint="default" w:ascii="宋体" w:cs="宋体"/>
          <w:i w:val="0"/>
          <w:iCs w:val="0"/>
          <w:caps w:val="0"/>
          <w:color w:val="333333"/>
          <w:spacing w:val="0"/>
          <w:sz w:val="28"/>
          <w:szCs w:val="28"/>
          <w:shd w:val="clear" w:fill="FFFFFF"/>
          <w:lang w:val="en-US" w:eastAsia="zh-CN"/>
        </w:rPr>
        <w:t>为</w:t>
      </w:r>
      <w:r>
        <w:rPr>
          <w:rFonts w:hint="eastAsia" w:ascii="宋体" w:cs="宋体"/>
          <w:i w:val="0"/>
          <w:iCs w:val="0"/>
          <w:caps w:val="0"/>
          <w:color w:val="333333"/>
          <w:spacing w:val="0"/>
          <w:sz w:val="28"/>
          <w:szCs w:val="28"/>
          <w:shd w:val="clear" w:fill="FFFFFF"/>
          <w:lang w:val="en-US" w:eastAsia="zh-CN"/>
        </w:rPr>
        <w:t>7</w:t>
      </w:r>
      <w:r>
        <w:rPr>
          <w:rFonts w:hint="default" w:ascii="宋体" w:cs="宋体"/>
          <w:i w:val="0"/>
          <w:iCs w:val="0"/>
          <w:caps w:val="0"/>
          <w:color w:val="333333"/>
          <w:spacing w:val="0"/>
          <w:sz w:val="28"/>
          <w:szCs w:val="28"/>
          <w:shd w:val="clear" w:fill="FFFFFF"/>
          <w:lang w:val="en-US" w:eastAsia="zh-CN"/>
        </w:rPr>
        <w:t>万元，</w:t>
      </w:r>
      <w:r>
        <w:rPr>
          <w:rFonts w:hint="eastAsia" w:ascii="宋体" w:cs="宋体"/>
          <w:i w:val="0"/>
          <w:iCs w:val="0"/>
          <w:caps w:val="0"/>
          <w:color w:val="333333"/>
          <w:spacing w:val="0"/>
          <w:sz w:val="28"/>
          <w:szCs w:val="28"/>
          <w:shd w:val="clear" w:fill="FFFFFF"/>
          <w:lang w:val="en-US" w:eastAsia="zh-CN"/>
        </w:rPr>
        <w:t>全年预算执行数为7万元，执行率100%。</w:t>
      </w:r>
      <w:r>
        <w:rPr>
          <w:rFonts w:hint="default" w:ascii="宋体" w:cs="宋体"/>
          <w:i w:val="0"/>
          <w:iCs w:val="0"/>
          <w:caps w:val="0"/>
          <w:color w:val="333333"/>
          <w:spacing w:val="0"/>
          <w:sz w:val="28"/>
          <w:szCs w:val="28"/>
          <w:shd w:val="clear" w:fill="FFFFFF"/>
          <w:lang w:val="en-US" w:eastAsia="zh-CN"/>
        </w:rPr>
        <w:t>主要用于</w:t>
      </w:r>
      <w:r>
        <w:rPr>
          <w:rFonts w:hint="eastAsia" w:ascii="宋体" w:cs="宋体"/>
          <w:i w:val="0"/>
          <w:iCs w:val="0"/>
          <w:caps w:val="0"/>
          <w:color w:val="333333"/>
          <w:spacing w:val="0"/>
          <w:sz w:val="28"/>
          <w:szCs w:val="28"/>
          <w:shd w:val="clear" w:fill="FFFFFF"/>
          <w:lang w:val="en-US" w:eastAsia="zh-CN"/>
        </w:rPr>
        <w:t>乡镇基本运转经费开支等。</w:t>
      </w:r>
    </w:p>
    <w:p>
      <w:pPr>
        <w:numPr>
          <w:ilvl w:val="0"/>
          <w:numId w:val="0"/>
        </w:numPr>
        <w:spacing w:line="540" w:lineRule="exact"/>
        <w:ind w:firstLine="560" w:firstLineChars="200"/>
        <w:rPr>
          <w:rFonts w:hint="default"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板桥乡乡镇均衡性转移支付补助项目</w:t>
      </w:r>
      <w:r>
        <w:rPr>
          <w:rFonts w:hint="default" w:ascii="宋体" w:cs="宋体"/>
          <w:i w:val="0"/>
          <w:iCs w:val="0"/>
          <w:caps w:val="0"/>
          <w:color w:val="333333"/>
          <w:spacing w:val="0"/>
          <w:sz w:val="28"/>
          <w:szCs w:val="28"/>
          <w:shd w:val="clear" w:fill="FFFFFF"/>
          <w:lang w:val="en-US" w:eastAsia="zh-CN"/>
        </w:rPr>
        <w:t>均按照行政单位会计制度进行核算，支出范围和标准均按照</w:t>
      </w:r>
      <w:r>
        <w:rPr>
          <w:rFonts w:hint="eastAsia" w:ascii="宋体" w:cs="宋体"/>
          <w:i w:val="0"/>
          <w:iCs w:val="0"/>
          <w:caps w:val="0"/>
          <w:color w:val="333333"/>
          <w:spacing w:val="0"/>
          <w:sz w:val="28"/>
          <w:szCs w:val="28"/>
          <w:shd w:val="clear" w:fill="FFFFFF"/>
          <w:lang w:val="en-US" w:eastAsia="zh-CN"/>
        </w:rPr>
        <w:t>县</w:t>
      </w:r>
      <w:r>
        <w:rPr>
          <w:rFonts w:hint="default" w:ascii="宋体" w:cs="宋体"/>
          <w:i w:val="0"/>
          <w:iCs w:val="0"/>
          <w:caps w:val="0"/>
          <w:color w:val="333333"/>
          <w:spacing w:val="0"/>
          <w:sz w:val="28"/>
          <w:szCs w:val="28"/>
          <w:shd w:val="clear" w:fill="FFFFFF"/>
          <w:lang w:val="en-US" w:eastAsia="zh-CN"/>
        </w:rPr>
        <w:t>政府和</w:t>
      </w:r>
      <w:r>
        <w:rPr>
          <w:rFonts w:hint="eastAsia" w:ascii="宋体" w:cs="宋体"/>
          <w:i w:val="0"/>
          <w:iCs w:val="0"/>
          <w:caps w:val="0"/>
          <w:color w:val="333333"/>
          <w:spacing w:val="0"/>
          <w:sz w:val="28"/>
          <w:szCs w:val="28"/>
          <w:shd w:val="clear" w:fill="FFFFFF"/>
          <w:lang w:val="en-US" w:eastAsia="zh-CN"/>
        </w:rPr>
        <w:t>县</w:t>
      </w:r>
      <w:r>
        <w:rPr>
          <w:rFonts w:hint="default" w:ascii="宋体" w:cs="宋体"/>
          <w:i w:val="0"/>
          <w:iCs w:val="0"/>
          <w:caps w:val="0"/>
          <w:color w:val="333333"/>
          <w:spacing w:val="0"/>
          <w:sz w:val="28"/>
          <w:szCs w:val="28"/>
          <w:shd w:val="clear" w:fill="FFFFFF"/>
          <w:lang w:val="en-US" w:eastAsia="zh-CN"/>
        </w:rPr>
        <w:t>财政局下发的</w:t>
      </w:r>
      <w:r>
        <w:rPr>
          <w:rFonts w:hint="eastAsia" w:ascii="宋体" w:cs="宋体"/>
          <w:i w:val="0"/>
          <w:iCs w:val="0"/>
          <w:caps w:val="0"/>
          <w:color w:val="333333"/>
          <w:spacing w:val="0"/>
          <w:sz w:val="28"/>
          <w:szCs w:val="28"/>
          <w:shd w:val="clear" w:fill="FFFFFF"/>
          <w:lang w:val="en-US" w:eastAsia="zh-CN"/>
        </w:rPr>
        <w:t>文件</w:t>
      </w:r>
      <w:r>
        <w:rPr>
          <w:rFonts w:hint="default" w:ascii="宋体" w:cs="宋体"/>
          <w:i w:val="0"/>
          <w:iCs w:val="0"/>
          <w:caps w:val="0"/>
          <w:color w:val="333333"/>
          <w:spacing w:val="0"/>
          <w:sz w:val="28"/>
          <w:szCs w:val="28"/>
          <w:shd w:val="clear" w:fill="FFFFFF"/>
          <w:lang w:val="en-US" w:eastAsia="zh-CN"/>
        </w:rPr>
        <w:t>标准执行。</w:t>
      </w:r>
    </w:p>
    <w:p>
      <w:pPr>
        <w:spacing w:line="540" w:lineRule="exact"/>
        <w:ind w:firstLine="600"/>
        <w:rPr>
          <w:rFonts w:ascii="黑体" w:hAnsi="黑体" w:eastAsia="黑体" w:cs="黑体"/>
          <w:sz w:val="32"/>
          <w:szCs w:val="32"/>
        </w:rPr>
      </w:pPr>
      <w:r>
        <w:rPr>
          <w:rFonts w:ascii="黑体" w:hAnsi="黑体" w:eastAsia="黑体" w:cs="黑体"/>
          <w:sz w:val="32"/>
          <w:szCs w:val="32"/>
        </w:rPr>
        <w:t>二、绩效评价工作开展情况</w:t>
      </w:r>
    </w:p>
    <w:p>
      <w:pPr>
        <w:numPr>
          <w:ilvl w:val="0"/>
          <w:numId w:val="0"/>
        </w:numPr>
        <w:spacing w:line="540" w:lineRule="exact"/>
        <w:ind w:firstLine="560" w:firstLineChars="200"/>
        <w:rPr>
          <w:rFonts w:hint="eastAsia"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（一）绩效评价目的、对象和范围。</w:t>
      </w:r>
    </w:p>
    <w:p>
      <w:pPr>
        <w:numPr>
          <w:ilvl w:val="0"/>
          <w:numId w:val="0"/>
        </w:numPr>
        <w:spacing w:line="540" w:lineRule="exact"/>
        <w:ind w:firstLine="560" w:firstLineChars="200"/>
        <w:rPr>
          <w:rFonts w:hint="default"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绩效评价的目的是使板桥乡乡镇均衡性转移支付补助项目预算的编制更科学、更规范，有利于财政部门优化财政支出结构，合理分配资金，使有限的财政资金发挥更大的效益。另一方面，通过开展绩效评价，为部门找到项目管理中存在的问题及原因，促使预算部门和单位积极采取措施，加强项目规划，健全项目资金的核算与管理，改进资金使用管理方式，逐步形成自我约束的良性机制。项目的绩效评价主要是针对乡镇均衡性转移支付补助项目列支和管理情况进行评价</w:t>
      </w:r>
    </w:p>
    <w:p>
      <w:pPr>
        <w:numPr>
          <w:ilvl w:val="0"/>
          <w:numId w:val="2"/>
        </w:numPr>
        <w:spacing w:line="540" w:lineRule="exact"/>
        <w:ind w:firstLine="560" w:firstLineChars="200"/>
        <w:rPr>
          <w:rFonts w:hint="eastAsia"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绩效评价原则、评价方法。</w:t>
      </w:r>
    </w:p>
    <w:p>
      <w:pPr>
        <w:numPr>
          <w:ilvl w:val="0"/>
          <w:numId w:val="0"/>
        </w:numPr>
        <w:spacing w:line="540" w:lineRule="exact"/>
        <w:ind w:firstLine="560" w:firstLineChars="200"/>
        <w:rPr>
          <w:rFonts w:hint="eastAsia"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1.绩效评价原则。本次绩效评价遵循科学规范原则、公正公开原则、分级分类原则、绩效相关原则。</w:t>
      </w:r>
    </w:p>
    <w:p>
      <w:pPr>
        <w:numPr>
          <w:ilvl w:val="0"/>
          <w:numId w:val="0"/>
        </w:numPr>
        <w:spacing w:line="540" w:lineRule="exact"/>
        <w:ind w:firstLine="560" w:firstLineChars="200"/>
        <w:rPr>
          <w:rFonts w:hint="eastAsia"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2.绩效评价方法。本次绩效评价采用了成本效益比较法、目标预定与实施效果比较法、最低成本法。</w:t>
      </w:r>
    </w:p>
    <w:p>
      <w:pPr>
        <w:spacing w:line="540" w:lineRule="exact"/>
        <w:ind w:firstLine="600"/>
        <w:rPr>
          <w:rFonts w:ascii="仿宋_GB2312" w:hAnsi="仿宋_GB2312" w:eastAsia="仿宋_GB2312" w:cs="仿宋_GB2312"/>
          <w:sz w:val="32"/>
          <w:szCs w:val="32"/>
        </w:rPr>
      </w:pPr>
      <w:r>
        <w:rPr>
          <w:rFonts w:ascii="黑体" w:hAnsi="黑体" w:eastAsia="黑体" w:cs="黑体"/>
          <w:sz w:val="32"/>
          <w:szCs w:val="32"/>
        </w:rPr>
        <w:t>三、综合评价情况及评价结论</w:t>
      </w:r>
    </w:p>
    <w:p>
      <w:pPr>
        <w:numPr>
          <w:ilvl w:val="0"/>
          <w:numId w:val="0"/>
        </w:numPr>
        <w:spacing w:line="540" w:lineRule="exact"/>
        <w:ind w:firstLine="560" w:firstLineChars="200"/>
        <w:rPr>
          <w:rFonts w:hint="eastAsia" w:ascii="宋体" w:cs="宋体"/>
          <w:b w:val="0"/>
          <w:bCs w:val="0"/>
          <w:i w:val="0"/>
          <w:iCs w:val="0"/>
          <w:caps w:val="0"/>
          <w:color w:val="333333"/>
          <w:spacing w:val="0"/>
          <w:sz w:val="28"/>
          <w:szCs w:val="28"/>
          <w:shd w:val="clear" w:fill="FFFFFF"/>
          <w:lang w:val="en-US" w:eastAsia="zh-CN"/>
        </w:rPr>
      </w:pPr>
      <w:r>
        <w:rPr>
          <w:rFonts w:hint="eastAsia" w:ascii="宋体" w:cs="宋体"/>
          <w:b w:val="0"/>
          <w:bCs w:val="0"/>
          <w:i w:val="0"/>
          <w:iCs w:val="0"/>
          <w:caps w:val="0"/>
          <w:color w:val="333333"/>
          <w:spacing w:val="0"/>
          <w:sz w:val="28"/>
          <w:szCs w:val="28"/>
          <w:shd w:val="clear" w:fill="FFFFFF"/>
          <w:lang w:val="en-US" w:eastAsia="zh-CN"/>
        </w:rPr>
        <w:t>（一）评价结果。</w:t>
      </w:r>
    </w:p>
    <w:p>
      <w:pPr>
        <w:numPr>
          <w:ilvl w:val="0"/>
          <w:numId w:val="0"/>
        </w:numPr>
        <w:spacing w:line="540" w:lineRule="exact"/>
        <w:ind w:firstLine="560" w:firstLineChars="200"/>
        <w:rPr>
          <w:rFonts w:hint="eastAsia" w:ascii="宋体" w:cs="宋体"/>
          <w:i w:val="0"/>
          <w:iCs w:val="0"/>
          <w:caps w:val="0"/>
          <w:color w:val="333333"/>
          <w:spacing w:val="0"/>
          <w:sz w:val="28"/>
          <w:szCs w:val="28"/>
          <w:shd w:val="clear" w:fill="FFFFFF"/>
          <w:lang w:val="en-US" w:eastAsia="zh-CN"/>
        </w:rPr>
      </w:pPr>
      <w:r>
        <w:rPr>
          <w:rFonts w:hint="eastAsia" w:ascii="宋体" w:cs="宋体"/>
          <w:i w:val="0"/>
          <w:iCs w:val="0"/>
          <w:caps w:val="0"/>
          <w:color w:val="333333"/>
          <w:spacing w:val="0"/>
          <w:sz w:val="28"/>
          <w:szCs w:val="28"/>
          <w:shd w:val="clear" w:fill="FFFFFF"/>
          <w:lang w:val="en-US" w:eastAsia="zh-CN"/>
        </w:rPr>
        <w:t>乡镇均衡性转移支付补助项目</w:t>
      </w:r>
      <w:r>
        <w:rPr>
          <w:rFonts w:hint="default" w:ascii="宋体" w:cs="宋体"/>
          <w:i w:val="0"/>
          <w:iCs w:val="0"/>
          <w:caps w:val="0"/>
          <w:color w:val="333333"/>
          <w:spacing w:val="0"/>
          <w:sz w:val="28"/>
          <w:szCs w:val="28"/>
          <w:shd w:val="clear" w:fill="FFFFFF"/>
          <w:lang w:val="en-US" w:eastAsia="zh-CN"/>
        </w:rPr>
        <w:t>基本实现了预期绩效目标，总体执行情况良好，根据202</w:t>
      </w:r>
      <w:r>
        <w:rPr>
          <w:rFonts w:hint="eastAsia" w:ascii="宋体" w:cs="宋体"/>
          <w:i w:val="0"/>
          <w:iCs w:val="0"/>
          <w:caps w:val="0"/>
          <w:color w:val="333333"/>
          <w:spacing w:val="0"/>
          <w:sz w:val="28"/>
          <w:szCs w:val="28"/>
          <w:shd w:val="clear" w:fill="FFFFFF"/>
          <w:lang w:val="en-US" w:eastAsia="zh-CN"/>
        </w:rPr>
        <w:t>3</w:t>
      </w:r>
      <w:r>
        <w:rPr>
          <w:rFonts w:hint="default" w:ascii="宋体" w:cs="宋体"/>
          <w:i w:val="0"/>
          <w:iCs w:val="0"/>
          <w:caps w:val="0"/>
          <w:color w:val="333333"/>
          <w:spacing w:val="0"/>
          <w:sz w:val="28"/>
          <w:szCs w:val="28"/>
          <w:shd w:val="clear" w:fill="FFFFFF"/>
          <w:lang w:val="en-US" w:eastAsia="zh-CN"/>
        </w:rPr>
        <w:t>年项目支出绩效自评指标评分表评分，按照打分标准，得出202</w:t>
      </w:r>
      <w:r>
        <w:rPr>
          <w:rFonts w:hint="eastAsia" w:ascii="宋体" w:cs="宋体"/>
          <w:i w:val="0"/>
          <w:iCs w:val="0"/>
          <w:caps w:val="0"/>
          <w:color w:val="333333"/>
          <w:spacing w:val="0"/>
          <w:sz w:val="28"/>
          <w:szCs w:val="28"/>
          <w:shd w:val="clear" w:fill="FFFFFF"/>
          <w:lang w:val="en-US" w:eastAsia="zh-CN"/>
        </w:rPr>
        <w:t>3</w:t>
      </w:r>
      <w:r>
        <w:rPr>
          <w:rFonts w:hint="default" w:ascii="宋体" w:cs="宋体"/>
          <w:i w:val="0"/>
          <w:iCs w:val="0"/>
          <w:caps w:val="0"/>
          <w:color w:val="333333"/>
          <w:spacing w:val="0"/>
          <w:sz w:val="28"/>
          <w:szCs w:val="28"/>
          <w:shd w:val="clear" w:fill="FFFFFF"/>
          <w:lang w:val="en-US" w:eastAsia="zh-CN"/>
        </w:rPr>
        <w:t>年度会议费项目综合评价自评分数为</w:t>
      </w:r>
      <w:r>
        <w:rPr>
          <w:rFonts w:hint="eastAsia" w:ascii="宋体" w:cs="宋体"/>
          <w:i w:val="0"/>
          <w:iCs w:val="0"/>
          <w:caps w:val="0"/>
          <w:color w:val="333333"/>
          <w:spacing w:val="0"/>
          <w:sz w:val="28"/>
          <w:szCs w:val="28"/>
          <w:shd w:val="clear" w:fill="FFFFFF"/>
          <w:lang w:val="en-US" w:eastAsia="zh-CN"/>
        </w:rPr>
        <w:t>100</w:t>
      </w:r>
      <w:r>
        <w:rPr>
          <w:rFonts w:hint="default" w:ascii="宋体" w:cs="宋体"/>
          <w:i w:val="0"/>
          <w:iCs w:val="0"/>
          <w:caps w:val="0"/>
          <w:color w:val="333333"/>
          <w:spacing w:val="0"/>
          <w:sz w:val="28"/>
          <w:szCs w:val="28"/>
          <w:shd w:val="clear" w:fill="FFFFFF"/>
          <w:lang w:val="en-US" w:eastAsia="zh-CN"/>
        </w:rPr>
        <w:t>分，绩效评价等次为“优秀”。</w:t>
      </w:r>
    </w:p>
    <w:p>
      <w:pPr>
        <w:numPr>
          <w:ilvl w:val="0"/>
          <w:numId w:val="0"/>
        </w:numPr>
        <w:spacing w:line="540" w:lineRule="exact"/>
        <w:ind w:firstLine="560" w:firstLineChars="200"/>
        <w:rPr>
          <w:rFonts w:hint="eastAsia" w:ascii="宋体" w:cs="宋体"/>
          <w:i w:val="0"/>
          <w:iCs w:val="0"/>
          <w:caps w:val="0"/>
          <w:color w:val="333333"/>
          <w:spacing w:val="0"/>
          <w:sz w:val="28"/>
          <w:szCs w:val="28"/>
          <w:shd w:val="clear" w:fill="FFFFFF"/>
          <w:lang w:val="en-US" w:eastAsia="zh-CN"/>
        </w:rPr>
      </w:pPr>
      <w:r>
        <w:rPr>
          <w:rFonts w:hint="default" w:ascii="宋体" w:cs="宋体"/>
          <w:i w:val="0"/>
          <w:iCs w:val="0"/>
          <w:caps w:val="0"/>
          <w:color w:val="333333"/>
          <w:spacing w:val="0"/>
          <w:sz w:val="28"/>
          <w:szCs w:val="28"/>
          <w:shd w:val="clear" w:fill="FFFFFF"/>
          <w:lang w:val="en-US" w:eastAsia="zh-CN"/>
        </w:rPr>
        <w:t>（二）主要绩效。</w:t>
      </w:r>
    </w:p>
    <w:p>
      <w:pPr>
        <w:numPr>
          <w:ilvl w:val="0"/>
          <w:numId w:val="0"/>
        </w:numPr>
        <w:spacing w:line="540" w:lineRule="exact"/>
        <w:ind w:firstLine="560" w:firstLineChars="200"/>
        <w:rPr>
          <w:rFonts w:ascii="仿宋_GB2312" w:hAnsi="仿宋_GB2312" w:eastAsia="仿宋_GB2312" w:cs="仿宋_GB2312"/>
          <w:sz w:val="32"/>
          <w:szCs w:val="32"/>
        </w:rPr>
      </w:pPr>
      <w:r>
        <w:rPr>
          <w:rFonts w:hint="default" w:ascii="宋体" w:cs="宋体"/>
          <w:i w:val="0"/>
          <w:iCs w:val="0"/>
          <w:caps w:val="0"/>
          <w:color w:val="333333"/>
          <w:spacing w:val="0"/>
          <w:sz w:val="28"/>
          <w:szCs w:val="28"/>
          <w:shd w:val="clear" w:fill="FFFFFF"/>
          <w:lang w:val="en-US" w:eastAsia="zh-CN"/>
        </w:rPr>
        <w:t>通过绩效评价结果了解单位财政资金使用状况，分析诊断单位内部管理问题，促进单位树立绩效意识、管理意识和责任意识。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ascii="黑体" w:hAnsi="黑体" w:eastAsia="黑体" w:cs="黑体"/>
          <w:kern w:val="0"/>
          <w:sz w:val="32"/>
          <w:szCs w:val="32"/>
          <w:lang w:val="en-US" w:eastAsia="zh-CN" w:bidi="ar-SA"/>
        </w:rPr>
      </w:pPr>
      <w:r>
        <w:rPr>
          <w:rFonts w:ascii="黑体" w:hAnsi="黑体" w:eastAsia="黑体" w:cs="黑体"/>
          <w:kern w:val="0"/>
          <w:sz w:val="32"/>
          <w:szCs w:val="32"/>
          <w:lang w:val="en-US" w:eastAsia="zh-CN" w:bidi="ar-SA"/>
        </w:rPr>
        <w:t>四、成本效益分析。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宋体" w:hAnsi="宋体" w:eastAsia="宋体" w:cs="宋体"/>
          <w:i w:val="0"/>
          <w:iCs w:val="0"/>
          <w:caps w:val="0"/>
          <w:color w:val="333333"/>
          <w:spacing w:val="0"/>
          <w:kern w:val="0"/>
          <w:sz w:val="28"/>
          <w:szCs w:val="28"/>
          <w:shd w:val="clear" w:fill="FFFFFF"/>
          <w:lang w:val="en-US" w:eastAsia="zh-CN" w:bidi="ar-SA"/>
        </w:rPr>
      </w:pPr>
      <w:r>
        <w:rPr>
          <w:rFonts w:hint="default" w:ascii="宋体" w:hAnsi="宋体" w:eastAsia="宋体" w:cs="宋体"/>
          <w:i w:val="0"/>
          <w:iCs w:val="0"/>
          <w:caps w:val="0"/>
          <w:color w:val="333333"/>
          <w:spacing w:val="0"/>
          <w:kern w:val="0"/>
          <w:sz w:val="28"/>
          <w:szCs w:val="28"/>
          <w:shd w:val="clear" w:fill="FFFFFF"/>
          <w:lang w:val="en-US" w:eastAsia="zh-CN" w:bidi="ar-SA"/>
        </w:rPr>
        <w:t>20</w:t>
      </w:r>
      <w:r>
        <w:rPr>
          <w:rFonts w:hint="eastAsia" w:ascii="宋体" w:cs="宋体"/>
          <w:i w:val="0"/>
          <w:iCs w:val="0"/>
          <w:caps w:val="0"/>
          <w:color w:val="333333"/>
          <w:spacing w:val="0"/>
          <w:kern w:val="0"/>
          <w:sz w:val="28"/>
          <w:szCs w:val="28"/>
          <w:shd w:val="clear" w:fill="FFFFFF"/>
          <w:lang w:val="en-US" w:eastAsia="zh-CN" w:bidi="ar-SA"/>
        </w:rPr>
        <w:t>23</w:t>
      </w:r>
      <w:r>
        <w:rPr>
          <w:rFonts w:hint="default" w:ascii="宋体" w:hAnsi="宋体" w:eastAsia="宋体" w:cs="宋体"/>
          <w:i w:val="0"/>
          <w:iCs w:val="0"/>
          <w:caps w:val="0"/>
          <w:color w:val="333333"/>
          <w:spacing w:val="0"/>
          <w:kern w:val="0"/>
          <w:sz w:val="28"/>
          <w:szCs w:val="28"/>
          <w:shd w:val="clear" w:fill="FFFFFF"/>
          <w:lang w:val="en-US" w:eastAsia="zh-CN" w:bidi="ar-SA"/>
        </w:rPr>
        <w:t>年</w:t>
      </w:r>
      <w:r>
        <w:rPr>
          <w:rFonts w:hint="eastAsia" w:ascii="宋体" w:cs="宋体"/>
          <w:i w:val="0"/>
          <w:iCs w:val="0"/>
          <w:caps w:val="0"/>
          <w:color w:val="333333"/>
          <w:spacing w:val="0"/>
          <w:sz w:val="28"/>
          <w:szCs w:val="28"/>
          <w:shd w:val="clear" w:fill="FFFFFF"/>
          <w:lang w:val="en-US" w:eastAsia="zh-CN"/>
        </w:rPr>
        <w:t>村级运转经费保障项目</w:t>
      </w:r>
      <w:r>
        <w:rPr>
          <w:rFonts w:hint="default" w:ascii="宋体" w:hAnsi="宋体" w:eastAsia="宋体" w:cs="宋体"/>
          <w:i w:val="0"/>
          <w:iCs w:val="0"/>
          <w:caps w:val="0"/>
          <w:color w:val="333333"/>
          <w:spacing w:val="0"/>
          <w:kern w:val="0"/>
          <w:sz w:val="28"/>
          <w:szCs w:val="28"/>
          <w:shd w:val="clear" w:fill="FFFFFF"/>
          <w:lang w:val="en-US" w:eastAsia="zh-CN" w:bidi="ar-SA"/>
        </w:rPr>
        <w:t>支出</w:t>
      </w:r>
      <w:r>
        <w:rPr>
          <w:rFonts w:hint="eastAsia" w:ascii="宋体" w:cs="宋体"/>
          <w:i w:val="0"/>
          <w:iCs w:val="0"/>
          <w:caps w:val="0"/>
          <w:color w:val="333333"/>
          <w:spacing w:val="0"/>
          <w:kern w:val="0"/>
          <w:sz w:val="28"/>
          <w:szCs w:val="28"/>
          <w:shd w:val="clear" w:fill="FFFFFF"/>
          <w:lang w:val="en-US" w:eastAsia="zh-CN" w:bidi="ar-SA"/>
        </w:rPr>
        <w:t>7</w:t>
      </w:r>
      <w:bookmarkStart w:id="0" w:name="_GoBack"/>
      <w:bookmarkEnd w:id="0"/>
      <w:r>
        <w:rPr>
          <w:rFonts w:hint="default" w:ascii="宋体" w:hAnsi="宋体" w:eastAsia="宋体" w:cs="宋体"/>
          <w:i w:val="0"/>
          <w:iCs w:val="0"/>
          <w:caps w:val="0"/>
          <w:color w:val="333333"/>
          <w:spacing w:val="0"/>
          <w:kern w:val="0"/>
          <w:sz w:val="28"/>
          <w:szCs w:val="28"/>
          <w:shd w:val="clear" w:fill="FFFFFF"/>
          <w:lang w:val="en-US" w:eastAsia="zh-CN" w:bidi="ar-SA"/>
        </w:rPr>
        <w:t>万元。资金使用合规合法，无截留、挪用等现象，资金使用产生效益：确保政府办各项工作正常运转。</w:t>
      </w:r>
    </w:p>
    <w:p>
      <w:pPr>
        <w:numPr>
          <w:ilvl w:val="0"/>
          <w:numId w:val="3"/>
        </w:numPr>
        <w:spacing w:line="540" w:lineRule="exact"/>
        <w:ind w:firstLine="600"/>
        <w:rPr>
          <w:rFonts w:ascii="黑体" w:hAnsi="黑体" w:eastAsia="黑体" w:cs="黑体"/>
          <w:sz w:val="32"/>
          <w:szCs w:val="32"/>
        </w:rPr>
      </w:pPr>
      <w:r>
        <w:rPr>
          <w:rFonts w:ascii="黑体" w:hAnsi="黑体" w:eastAsia="黑体" w:cs="黑体"/>
          <w:sz w:val="32"/>
          <w:szCs w:val="32"/>
        </w:rPr>
        <w:t>主要经验及做法</w:t>
      </w:r>
    </w:p>
    <w:p>
      <w:pPr>
        <w:numPr>
          <w:ilvl w:val="0"/>
          <w:numId w:val="0"/>
        </w:numPr>
        <w:spacing w:line="540" w:lineRule="exact"/>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项目规划准备充分。制定了较完善的项目预算，对资金用途、使用要求、使用部门、责任分工等进行了规范，使项目得以顺利实施。</w:t>
      </w:r>
    </w:p>
    <w:p>
      <w:pPr>
        <w:numPr>
          <w:ilvl w:val="0"/>
          <w:numId w:val="3"/>
        </w:numPr>
        <w:spacing w:line="540" w:lineRule="exact"/>
        <w:ind w:left="0" w:leftChars="0" w:firstLine="600" w:firstLineChars="0"/>
        <w:rPr>
          <w:rFonts w:ascii="黑体" w:hAnsi="黑体" w:eastAsia="黑体" w:cs="黑体"/>
          <w:sz w:val="32"/>
          <w:szCs w:val="32"/>
        </w:rPr>
      </w:pPr>
      <w:r>
        <w:rPr>
          <w:rFonts w:ascii="黑体" w:hAnsi="黑体" w:eastAsia="黑体" w:cs="黑体"/>
          <w:sz w:val="32"/>
          <w:szCs w:val="32"/>
        </w:rPr>
        <w:t>存在问题及原因分析</w:t>
      </w:r>
    </w:p>
    <w:p>
      <w:pPr>
        <w:numPr>
          <w:ilvl w:val="0"/>
          <w:numId w:val="0"/>
        </w:numPr>
        <w:spacing w:line="540" w:lineRule="exact"/>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管理制度需进一步完善，明确绩效指标和项目界定标准。项目资金的使用未设定相应的预算指标，使得项目资金没有明确的考核标准。</w:t>
      </w:r>
    </w:p>
    <w:p>
      <w:pPr>
        <w:widowControl w:val="0"/>
        <w:numPr>
          <w:ilvl w:val="0"/>
          <w:numId w:val="0"/>
        </w:numPr>
        <w:spacing w:line="540" w:lineRule="exact"/>
        <w:ind w:left="600" w:leftChars="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黑体" w:hAnsi="黑体" w:eastAsia="黑体" w:cs="黑体"/>
          <w:sz w:val="32"/>
          <w:szCs w:val="32"/>
          <w:lang w:val="en-US" w:eastAsia="zh-CN"/>
        </w:rPr>
        <w:t>七、</w:t>
      </w:r>
      <w:r>
        <w:rPr>
          <w:rFonts w:hint="eastAsia" w:ascii="黑体" w:hAnsi="黑体" w:eastAsia="黑体" w:cs="黑体"/>
          <w:sz w:val="32"/>
          <w:szCs w:val="32"/>
        </w:rPr>
        <w:t>有关建议</w:t>
      </w:r>
    </w:p>
    <w:p>
      <w:pPr>
        <w:widowControl w:val="0"/>
        <w:numPr>
          <w:ilvl w:val="0"/>
          <w:numId w:val="0"/>
        </w:numPr>
        <w:spacing w:line="540" w:lineRule="exact"/>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明确项目绩效目标，细化项目管理。建立健全的项目制度，制定对单位的考核方案。完善预算编制，提高预算执行水平。严格执行考核制度，提高服务效率。</w:t>
      </w:r>
    </w:p>
    <w:sectPr>
      <w:headerReference r:id="rId3" w:type="default"/>
      <w:footerReference r:id="rId4" w:type="default"/>
      <w:pgSz w:w="11906" w:h="16838"/>
      <w:pgMar w:top="2155" w:right="1531" w:bottom="1418" w:left="1588" w:header="737" w:footer="851" w:gutter="0"/>
      <w:cols w:space="720" w:num="1"/>
      <w:docGrid w:type="line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42317B"/>
    <w:multiLevelType w:val="singleLevel"/>
    <w:tmpl w:val="A942317B"/>
    <w:lvl w:ilvl="0" w:tentative="0">
      <w:start w:val="1"/>
      <w:numFmt w:val="chineseCounting"/>
      <w:suff w:val="nothing"/>
      <w:lvlText w:val="%1、"/>
      <w:lvlJc w:val="left"/>
      <w:pPr>
        <w:ind w:left="120"/>
      </w:pPr>
      <w:rPr>
        <w:rFonts w:hint="eastAsia"/>
        <w:b/>
        <w:bCs/>
      </w:rPr>
    </w:lvl>
  </w:abstractNum>
  <w:abstractNum w:abstractNumId="1">
    <w:nsid w:val="C64E6CD0"/>
    <w:multiLevelType w:val="singleLevel"/>
    <w:tmpl w:val="C64E6CD0"/>
    <w:lvl w:ilvl="0" w:tentative="0">
      <w:start w:val="2"/>
      <w:numFmt w:val="chineseCounting"/>
      <w:suff w:val="nothing"/>
      <w:lvlText w:val="（%1）"/>
      <w:lvlJc w:val="left"/>
      <w:rPr>
        <w:rFonts w:hint="eastAsia"/>
      </w:rPr>
    </w:lvl>
  </w:abstractNum>
  <w:abstractNum w:abstractNumId="2">
    <w:nsid w:val="0D9E75AE"/>
    <w:multiLevelType w:val="singleLevel"/>
    <w:tmpl w:val="0D9E75AE"/>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80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YzQyZTJhYjgwZGQzNjIyMGYwZDgwNTRkOThlNWQifQ=="/>
  </w:docVars>
  <w:rsids>
    <w:rsidRoot w:val="00B575E0"/>
    <w:rsid w:val="00123F02"/>
    <w:rsid w:val="002972BE"/>
    <w:rsid w:val="00A556CE"/>
    <w:rsid w:val="00B575E0"/>
    <w:rsid w:val="00D068BC"/>
    <w:rsid w:val="014A5007"/>
    <w:rsid w:val="04E62E18"/>
    <w:rsid w:val="06954E2E"/>
    <w:rsid w:val="07C531B9"/>
    <w:rsid w:val="09CB082F"/>
    <w:rsid w:val="0EEF3211"/>
    <w:rsid w:val="1DD243E0"/>
    <w:rsid w:val="28237D5C"/>
    <w:rsid w:val="28867F28"/>
    <w:rsid w:val="2D1F486A"/>
    <w:rsid w:val="35F1068C"/>
    <w:rsid w:val="3A04322D"/>
    <w:rsid w:val="417C03C3"/>
    <w:rsid w:val="42E15A07"/>
    <w:rsid w:val="4473751E"/>
    <w:rsid w:val="51271DBC"/>
    <w:rsid w:val="518C1C1F"/>
    <w:rsid w:val="56476D69"/>
    <w:rsid w:val="64647360"/>
    <w:rsid w:val="65404DA2"/>
    <w:rsid w:val="715D7E77"/>
    <w:rsid w:val="72056A73"/>
    <w:rsid w:val="723637B5"/>
    <w:rsid w:val="76634D94"/>
    <w:rsid w:val="79D64238"/>
  </w:rsids>
  <m:mathPr>
    <m:mathFont m:val="Cambria Math"/>
    <m:brkBin m:val="before"/>
    <m:brkBinSub m:val="--"/>
    <m:smallFrac m:val="1"/>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1062</Words>
  <Characters>1081</Characters>
  <Lines>2</Lines>
  <Paragraphs>1</Paragraphs>
  <TotalTime>0</TotalTime>
  <ScaleCrop>false</ScaleCrop>
  <LinksUpToDate>false</LinksUpToDate>
  <CharactersWithSpaces>1081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2020-03-05T03:12:00Z</dcterms:created>
  <dc:creator>liulu</dc:creator>
  <cp:lastModifiedBy>眠秋</cp:lastModifiedBy>
  <dcterms:modified xsi:type="dcterms:W3CDTF">2024-09-23T07:08:21Z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9C4354CD788248619FF12179E9D4D2A9</vt:lpwstr>
  </property>
</Properties>
</file>