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803" w:firstLineChars="200"/>
        <w:jc w:val="both"/>
        <w:textAlignment w:val="auto"/>
        <w:rPr>
          <w:rFonts w:hint="eastAsia" w:ascii="仿宋_GB2312" w:hAnsi="仿宋_GB2312" w:cs="仿宋_GB2312"/>
          <w:b/>
          <w:bCs w:val="0"/>
          <w:sz w:val="40"/>
          <w:szCs w:val="40"/>
          <w:lang w:val="en-US" w:eastAsia="zh-CN"/>
        </w:rPr>
      </w:pPr>
      <w:bookmarkStart w:id="0" w:name="OLE_LINK30"/>
      <w:bookmarkStart w:id="1" w:name="OLE_LINK32"/>
      <w:bookmarkStart w:id="2" w:name="OLE_LINK31"/>
      <w:bookmarkStart w:id="5" w:name="_GoBack"/>
      <w:bookmarkEnd w:id="5"/>
      <w:r>
        <w:rPr>
          <w:rFonts w:hint="eastAsia" w:ascii="仿宋_GB2312" w:hAnsi="仿宋_GB2312" w:eastAsia="仿宋_GB2312" w:cs="仿宋_GB2312"/>
          <w:b/>
          <w:bCs w:val="0"/>
          <w:sz w:val="40"/>
          <w:szCs w:val="40"/>
          <w:lang w:val="en-US" w:eastAsia="zh-CN"/>
        </w:rPr>
        <w:t>村级活动场所建设</w:t>
      </w:r>
      <w:r>
        <w:rPr>
          <w:rFonts w:hint="eastAsia" w:ascii="仿宋_GB2312" w:hAnsi="仿宋_GB2312" w:eastAsia="仿宋_GB2312" w:cs="仿宋_GB2312"/>
          <w:b/>
          <w:bCs w:val="0"/>
          <w:sz w:val="40"/>
          <w:szCs w:val="40"/>
          <w:lang w:eastAsia="zh-CN"/>
        </w:rPr>
        <w:t>项目</w:t>
      </w:r>
      <w:bookmarkEnd w:id="0"/>
      <w:r>
        <w:rPr>
          <w:rFonts w:hint="eastAsia" w:ascii="仿宋_GB2312" w:hAnsi="仿宋_GB2312" w:eastAsia="仿宋_GB2312" w:cs="仿宋_GB2312"/>
          <w:b/>
          <w:bCs w:val="0"/>
          <w:sz w:val="40"/>
          <w:szCs w:val="40"/>
          <w:lang w:eastAsia="zh-CN"/>
        </w:rPr>
        <w:t>绩效</w:t>
      </w:r>
      <w:r>
        <w:rPr>
          <w:rFonts w:hint="eastAsia" w:ascii="仿宋_GB2312" w:hAnsi="仿宋_GB2312" w:cs="仿宋_GB2312"/>
          <w:b/>
          <w:bCs w:val="0"/>
          <w:sz w:val="40"/>
          <w:szCs w:val="40"/>
          <w:lang w:val="en-US" w:eastAsia="zh-CN"/>
        </w:rPr>
        <w:t>评价报告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2" w:firstLineChars="200"/>
        <w:textAlignment w:val="auto"/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bookmarkStart w:id="3" w:name="OLE_LINK29"/>
      <w:bookmarkStart w:id="4" w:name="OLE_LINK28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村级活动场所建设</w:t>
      </w:r>
      <w:bookmarkEnd w:id="3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</w:t>
      </w:r>
      <w:bookmarkEnd w:id="4"/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主要用于了提升村级组织的凝聚力、战斗力和服务群众的能力，进而巩固党的执政基础，推动农村经济社会又好又快发展。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 w:leftChars="200" w:firstLine="0" w:firstLineChars="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项目绩效目标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提供一个集办公议事、开展党员活动、实施教育培训、提供公益服务、组织文化娱乐等功能为一体的综合性阵地。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  <w:t>绩效评价情况开展工作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此次绩效评价开展范围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村级活动场所建设项目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，全面评价预算项目经费对开展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村级活动场所建设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的积极作用。时间为2023全年度，方式为自评。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  <w:t>综合评价情况及评价结论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按照《休宁县财政局关于开展2023年度县级预算支出、绩效单位自评和部门评价工作的通知》的要求，我乡绩效评价工作领导小组及时组织开展本单位2023年度村级活动场所建设项目绩效评价工作。评价小组通过检查项目支出有关账目，收集整理支出相关资料，合理分析相关材料，形成绩效自评结论。自评打分为100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  <w:t>绩效评价指标分析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  <w:t>项目决策情况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2023年度村级活动场所建设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专项资金7万全部到位，到位率100%。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项目过程情况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2023年度该项目专项资金7万元，全部支付完成。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项目产出情况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乡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对项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目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高度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重视，严格管理专项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资金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资金使用实行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先预算后使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用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的原则。任何单位和个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人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不得以任何形式平调、挤占和挪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用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；不得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用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于规定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用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途之外的项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目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以及国家规定不得列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支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的其他费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用</w:t>
      </w:r>
      <w:r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绩效项目完成情况分析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根据年初设定的绩效目标，项目绩效自评得分为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分。全年预算数为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万元，执行数为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万元，完成预算的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%。项目绩效目标完成情况：一是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产出指标完成情况分析，该项目全年完成效果教好，达到预期目标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满意度完成指标分析，项目开展成效较好，满意度高度90%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B3078"/>
    <w:multiLevelType w:val="singleLevel"/>
    <w:tmpl w:val="83DB30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52E610"/>
    <w:multiLevelType w:val="singleLevel"/>
    <w:tmpl w:val="D652E610"/>
    <w:lvl w:ilvl="0" w:tentative="0">
      <w:start w:val="4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35A89FFE"/>
    <w:multiLevelType w:val="singleLevel"/>
    <w:tmpl w:val="35A89F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3D3E229"/>
    <w:multiLevelType w:val="singleLevel"/>
    <w:tmpl w:val="63D3E2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TM2OTM3ZGRjODQ3YTk2ZDI1MjY0MTRiMDdkMDgifQ=="/>
  </w:docVars>
  <w:rsids>
    <w:rsidRoot w:val="00000000"/>
    <w:rsid w:val="41A10F55"/>
    <w:rsid w:val="D5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2024-09-12T08:15:00Z</dcterms:created>
  <dc:creator>Administrator</dc:creator>
  <cp:lastModifiedBy>hss</cp:lastModifiedBy>
  <dcterms:modified xsi:type="dcterms:W3CDTF">2024-10-08T14:40:02Z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099A67FE1B3C46749E83288984D9C017_12</vt:lpwstr>
  </property>
</Properties>
</file>