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鹤城</w:t>
      </w:r>
      <w:r>
        <w:rPr>
          <w:rFonts w:hint="eastAsia" w:ascii="仿宋" w:hAnsi="仿宋" w:eastAsia="仿宋" w:cs="仿宋"/>
          <w:sz w:val="44"/>
          <w:szCs w:val="44"/>
        </w:rPr>
        <w:t>乡人大代表活动经费项目支出绩效评价报告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一、项目基本情况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人大代表活动经费是代表在闭会期间履行职责，发挥代表作用的主要形式，代表活动开展的成效直接决定了代表作用发挥的程度。扎实开展闭会期间人大代表活动，才能充分发挥人大代表在发展社会主义政治文明、构建和谐社会工作中起到重要作用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年项目年初预算资金安排为2.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 w:cs="仿宋"/>
          <w:sz w:val="32"/>
          <w:szCs w:val="32"/>
        </w:rPr>
        <w:t>万元，全年预算执行数为2.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 w:cs="仿宋"/>
          <w:sz w:val="32"/>
          <w:szCs w:val="32"/>
        </w:rPr>
        <w:t>万元，执行率100%。主要用于组织开展人大代表活动。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乡人大代表活动经费均按照行政单位会计制度进行核算，专项用于人大代表活动。支出范围和标准均按照县政府和县财政局下发的文件标准执行。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二、绩效评价工作开展情况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（一）绩效评价目的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对照年初确定的绩效目标各项任务，加强项目资金的管理使用，确保资金使用合规合法，促进工作效率提高，保障人大代表活动的正常开展。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（二）绩效评价原则、评价方法。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1.绩效评价原则。本次绩效评价遵循科学规范原则、公正公开原则、分级分类原则、绩效相关原则。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2.绩效评价方法。本次绩效评价采用了成本效益比较法、目标预定与实施效果比较法、最低成本法。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三、综合评价情况及评价结论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（一）评价结果。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乡人大代表活动经费项目基本实现了预期绩效目标，总体执行情况良好，根据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年项目支出绩效自评指标评分表评分，按照打分标准，得出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年度会议费项目综合评价自评分数为100分，绩效评价等次为“优秀”。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（二）主要绩效。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该专项资金的投入使用，为人大代表依法履行职责提供了财力保证。完成了人大代表视察、专题调研等工作，达到了预期主要的经济、政治和社会效益。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四、成本效益分析。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该项资金用于人大代表活动经费支出。资金支出控制在预算范围内，达到了预期绩效目标。项目和资金管理科学合理，整体项目效果良好。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五、主要经验及做法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对照年初确定的绩效目标各项任务，加强项目和资金管理，确保资金使用合规合法，促进工作效率提高，保障项目和资金管理顺利完成。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六、存在问题及原因分析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绩效指标设立科学性有待加强。项目实施后的经费支出情况有待更细化、完整、科学。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七、有关建议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进一步完善项目绩效目标及绩效指标。项目绩效指标需结合项目明细具体设置，尽可能全面、客观的反映项目产出及效果。</w:t>
      </w:r>
    </w:p>
    <w:p/>
    <w:sectPr>
      <w:headerReference r:id="rId3" w:type="default"/>
      <w:footerReference r:id="rId4" w:type="default"/>
      <w:pgSz w:w="11906" w:h="16838"/>
      <w:pgMar w:top="2155" w:right="1531" w:bottom="1418" w:left="1588" w:header="737" w:footer="851" w:gutter="0"/>
      <w:cols w:space="720" w:num="1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wY2ViZTI4MjBmNDExZmU1MTYzNWVkYTFmMzUyOWUifQ=="/>
  </w:docVars>
  <w:rsids>
    <w:rsidRoot w:val="235159B8"/>
    <w:rsid w:val="2351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2023-12-14T01:17:00Z</dcterms:created>
  <dc:creator>万柳ギ如云</dc:creator>
  <cp:lastModifiedBy>万柳ギ如云</cp:lastModifiedBy>
  <dcterms:modified xsi:type="dcterms:W3CDTF">2023-12-14T01:17:55Z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3A187541EB064E9FB37C1C63A7FE0285_11</vt:lpwstr>
  </property>
</Properties>
</file>