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b/>
          <w:bCs/>
          <w:sz w:val="52"/>
          <w:szCs w:val="52"/>
        </w:rPr>
      </w:pPr>
    </w:p>
    <w:p>
      <w:pPr>
        <w:spacing w:line="480" w:lineRule="auto"/>
        <w:ind w:firstLine="0" w:firstLineChars="0"/>
        <w:jc w:val="center"/>
        <w:rPr>
          <w:b/>
          <w:bCs/>
          <w:sz w:val="52"/>
          <w:szCs w:val="52"/>
        </w:rPr>
      </w:pPr>
    </w:p>
    <w:p>
      <w:pPr>
        <w:spacing w:line="480" w:lineRule="auto"/>
        <w:ind w:firstLine="0" w:firstLineChars="0"/>
        <w:jc w:val="center"/>
        <w:rPr>
          <w:b/>
          <w:bCs/>
          <w:sz w:val="72"/>
          <w:szCs w:val="72"/>
        </w:rPr>
      </w:pPr>
    </w:p>
    <w:p>
      <w:pPr>
        <w:spacing w:line="720" w:lineRule="auto"/>
        <w:ind w:firstLine="0" w:firstLineChars="0"/>
        <w:jc w:val="center"/>
        <w:rPr>
          <w:rFonts w:hint="eastAsia"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rPr>
        <w:t>休宁县集中式饮用水水源地</w:t>
      </w:r>
    </w:p>
    <w:p>
      <w:pPr>
        <w:spacing w:line="720" w:lineRule="auto"/>
        <w:ind w:firstLine="0" w:firstLineChars="0"/>
        <w:jc w:val="center"/>
        <w:rPr>
          <w:rFonts w:hint="eastAsia"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rPr>
        <w:t>突发环境事件应急预案</w:t>
      </w:r>
    </w:p>
    <w:p>
      <w:pPr>
        <w:spacing w:line="480" w:lineRule="auto"/>
        <w:ind w:firstLine="0" w:firstLineChars="0"/>
        <w:jc w:val="center"/>
        <w:rPr>
          <w:b/>
          <w:bCs/>
          <w:sz w:val="52"/>
          <w:szCs w:val="52"/>
        </w:rPr>
      </w:pPr>
    </w:p>
    <w:p>
      <w:pPr>
        <w:spacing w:line="480" w:lineRule="auto"/>
        <w:ind w:firstLine="0" w:firstLineChars="0"/>
        <w:jc w:val="center"/>
        <w:rPr>
          <w:b/>
          <w:bCs/>
          <w:sz w:val="52"/>
          <w:szCs w:val="52"/>
        </w:rPr>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spacing w:line="480" w:lineRule="auto"/>
        <w:ind w:firstLine="0" w:firstLineChars="0"/>
        <w:jc w:val="left"/>
        <w:rPr>
          <w:b/>
          <w:bCs/>
          <w:szCs w:val="28"/>
        </w:rPr>
      </w:pPr>
    </w:p>
    <w:p>
      <w:pPr>
        <w:ind w:firstLine="0" w:firstLineChars="0"/>
        <w:jc w:val="center"/>
        <w:rPr>
          <w:sz w:val="36"/>
          <w:szCs w:val="36"/>
        </w:rPr>
      </w:pPr>
      <w:r>
        <w:rPr>
          <w:rFonts w:hint="eastAsia"/>
          <w:sz w:val="36"/>
          <w:szCs w:val="36"/>
        </w:rPr>
        <w:t>黄山市休宁县人民政府</w:t>
      </w:r>
    </w:p>
    <w:p>
      <w:pPr>
        <w:ind w:firstLine="0" w:firstLineChars="0"/>
        <w:jc w:val="center"/>
        <w:sectPr>
          <w:headerReference r:id="rId6" w:type="first"/>
          <w:footerReference r:id="rId9" w:type="first"/>
          <w:footerReference r:id="rId7" w:type="default"/>
          <w:headerReference r:id="rId5" w:type="even"/>
          <w:footerReference r:id="rId8" w:type="even"/>
          <w:pgSz w:w="11906" w:h="16838"/>
          <w:pgMar w:top="1440" w:right="1418" w:bottom="1440" w:left="1418" w:header="851" w:footer="992" w:gutter="0"/>
          <w:cols w:space="425" w:num="1"/>
          <w:docGrid w:type="lines" w:linePitch="381" w:charSpace="0"/>
        </w:sectPr>
      </w:pPr>
      <w:r>
        <w:rPr>
          <w:rFonts w:hint="eastAsia"/>
          <w:sz w:val="36"/>
          <w:szCs w:val="36"/>
        </w:rPr>
        <w:t>2</w:t>
      </w:r>
      <w:r>
        <w:rPr>
          <w:sz w:val="36"/>
          <w:szCs w:val="36"/>
        </w:rPr>
        <w:t>02</w:t>
      </w:r>
      <w:r>
        <w:rPr>
          <w:rFonts w:hint="eastAsia"/>
          <w:sz w:val="36"/>
          <w:szCs w:val="36"/>
        </w:rPr>
        <w:t>3年</w:t>
      </w:r>
      <w:r>
        <w:rPr>
          <w:sz w:val="36"/>
          <w:szCs w:val="36"/>
        </w:rPr>
        <w:t>10</w:t>
      </w:r>
      <w:r>
        <w:rPr>
          <w:rFonts w:hint="eastAsia"/>
          <w:sz w:val="36"/>
          <w:szCs w:val="36"/>
        </w:rPr>
        <w:t>月</w:t>
      </w:r>
    </w:p>
    <w:sdt>
      <w:sdtPr>
        <w:rPr>
          <w:rFonts w:ascii="Times New Roman" w:hAnsi="Times New Roman" w:eastAsia="仿宋_GB2312" w:cs="Times New Roman"/>
          <w:color w:val="auto"/>
          <w:kern w:val="2"/>
          <w:sz w:val="28"/>
          <w:szCs w:val="24"/>
          <w:lang w:val="zh-CN"/>
        </w:rPr>
        <w:id w:val="-1542822129"/>
        <w:docPartObj>
          <w:docPartGallery w:val="Table of Contents"/>
          <w:docPartUnique/>
        </w:docPartObj>
      </w:sdtPr>
      <w:sdtEndPr>
        <w:rPr>
          <w:rFonts w:ascii="Times New Roman" w:hAnsi="Times New Roman" w:eastAsia="仿宋_GB2312" w:cs="Times New Roman"/>
          <w:b/>
          <w:bCs/>
          <w:color w:val="auto"/>
          <w:kern w:val="2"/>
          <w:sz w:val="28"/>
          <w:szCs w:val="24"/>
          <w:lang w:val="zh-CN"/>
        </w:rPr>
      </w:sdtEndPr>
      <w:sdtContent>
        <w:p>
          <w:pPr>
            <w:pStyle w:val="48"/>
            <w:jc w:val="center"/>
            <w:rPr>
              <w:rFonts w:ascii="仿宋_GB2312" w:eastAsia="仿宋_GB2312"/>
              <w:b/>
              <w:bCs/>
              <w:color w:val="auto"/>
              <w:sz w:val="48"/>
              <w:szCs w:val="48"/>
            </w:rPr>
          </w:pPr>
          <w:r>
            <w:rPr>
              <w:rFonts w:hint="eastAsia" w:ascii="仿宋_GB2312" w:eastAsia="仿宋_GB2312"/>
              <w:b/>
              <w:bCs/>
              <w:color w:val="auto"/>
              <w:sz w:val="48"/>
              <w:szCs w:val="48"/>
              <w:lang w:val="zh-CN"/>
            </w:rPr>
            <w:t>目录</w:t>
          </w:r>
        </w:p>
        <w:p>
          <w:pPr>
            <w:pStyle w:val="18"/>
            <w:rPr>
              <w:rFonts w:asciiTheme="minorHAnsi" w:hAnsiTheme="minorHAnsi" w:eastAsiaTheme="minorEastAsia" w:cstheme="minorBidi"/>
              <w:b w:val="0"/>
              <w:bCs w:val="0"/>
              <w:kern w:val="2"/>
              <w:sz w:val="21"/>
              <w:szCs w:val="22"/>
              <w14:ligatures w14:val="standardContextual"/>
            </w:rPr>
          </w:pPr>
          <w:r>
            <w:rPr>
              <w:b w:val="0"/>
              <w:bCs w:val="0"/>
            </w:rPr>
            <w:fldChar w:fldCharType="begin"/>
          </w:r>
          <w:r>
            <w:rPr>
              <w:b w:val="0"/>
              <w:bCs w:val="0"/>
            </w:rPr>
            <w:instrText xml:space="preserve"> TOC \o "1-2" \h \z \u </w:instrText>
          </w:r>
          <w:r>
            <w:rPr>
              <w:b w:val="0"/>
              <w:bCs w:val="0"/>
            </w:rPr>
            <w:fldChar w:fldCharType="separate"/>
          </w:r>
          <w:r>
            <w:fldChar w:fldCharType="begin"/>
          </w:r>
          <w:r>
            <w:instrText xml:space="preserve"> HYPERLINK \l "_Toc153869645" </w:instrText>
          </w:r>
          <w:r>
            <w:fldChar w:fldCharType="separate"/>
          </w:r>
          <w:r>
            <w:rPr>
              <w:rStyle w:val="29"/>
            </w:rPr>
            <w:t>1总则</w:t>
          </w:r>
          <w:r>
            <w:tab/>
          </w:r>
          <w:r>
            <w:fldChar w:fldCharType="begin"/>
          </w:r>
          <w:r>
            <w:instrText xml:space="preserve"> PAGEREF _Toc153869645 \h </w:instrText>
          </w:r>
          <w:r>
            <w:fldChar w:fldCharType="separate"/>
          </w:r>
          <w:r>
            <w:t>1</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"_Toc153869646" </w:instrText>
          </w:r>
          <w:r>
            <w:fldChar w:fldCharType="separate"/>
          </w:r>
          <w:r>
            <w:rPr>
              <w:rStyle w:val="29"/>
            </w:rPr>
            <w:t>1.1编制目的</w:t>
          </w:r>
          <w:r>
            <w:tab/>
          </w:r>
          <w:r>
            <w:fldChar w:fldCharType="begin"/>
          </w:r>
          <w:r>
            <w:instrText xml:space="preserve"> PAGEREF _Toc153869646 \h </w:instrText>
          </w:r>
          <w:r>
            <w:fldChar w:fldCharType="separate"/>
          </w:r>
          <w:r>
            <w:t>1</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"_Toc153869647" </w:instrText>
          </w:r>
          <w:r>
            <w:fldChar w:fldCharType="separate"/>
          </w:r>
          <w:r>
            <w:rPr>
              <w:rStyle w:val="29"/>
            </w:rPr>
            <w:t>1.2编制依据</w:t>
          </w:r>
          <w:r>
            <w:tab/>
          </w:r>
          <w:r>
            <w:fldChar w:fldCharType="begin"/>
          </w:r>
          <w:r>
            <w:instrText xml:space="preserve"> PAGEREF _Toc153869647 \h </w:instrText>
          </w:r>
          <w:r>
            <w:fldChar w:fldCharType="separate"/>
          </w:r>
          <w:r>
            <w:t>1</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"_Toc153869648" </w:instrText>
          </w:r>
          <w:r>
            <w:fldChar w:fldCharType="separate"/>
          </w:r>
          <w:r>
            <w:rPr>
              <w:rStyle w:val="29"/>
            </w:rPr>
            <w:t>1.3适用范围</w:t>
          </w:r>
          <w:r>
            <w:tab/>
          </w:r>
          <w:r>
            <w:fldChar w:fldCharType="begin"/>
          </w:r>
          <w:r>
            <w:instrText xml:space="preserve"> PAGEREF _Toc153869648 \h </w:instrText>
          </w:r>
          <w:r>
            <w:fldChar w:fldCharType="separate"/>
          </w:r>
          <w:r>
            <w:t>3</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"_Toc153869649" </w:instrText>
          </w:r>
          <w:r>
            <w:fldChar w:fldCharType="separate"/>
          </w:r>
          <w:r>
            <w:rPr>
              <w:rStyle w:val="29"/>
            </w:rPr>
            <w:t>1.4事件分级</w:t>
          </w:r>
          <w:r>
            <w:tab/>
          </w:r>
          <w:r>
            <w:fldChar w:fldCharType="begin"/>
          </w:r>
          <w:r>
            <w:instrText xml:space="preserve"> PAGEREF _Toc153869649 \h </w:instrText>
          </w:r>
          <w:r>
            <w:fldChar w:fldCharType="separate"/>
          </w:r>
          <w:r>
            <w:t>4</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"_Toc153869650" </w:instrText>
          </w:r>
          <w:r>
            <w:fldChar w:fldCharType="separate"/>
          </w:r>
          <w:r>
            <w:rPr>
              <w:rStyle w:val="29"/>
            </w:rPr>
            <w:t>1.5预案衔接</w:t>
          </w:r>
          <w:r>
            <w:tab/>
          </w:r>
          <w:r>
            <w:fldChar w:fldCharType="begin"/>
          </w:r>
          <w:r>
            <w:instrText xml:space="preserve"> PAGEREF _Toc153869650 \h </w:instrText>
          </w:r>
          <w:r>
            <w:fldChar w:fldCharType="separate"/>
          </w:r>
          <w:r>
            <w:t>6</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"_Toc153869651" </w:instrText>
          </w:r>
          <w:r>
            <w:fldChar w:fldCharType="separate"/>
          </w:r>
          <w:r>
            <w:rPr>
              <w:rStyle w:val="29"/>
            </w:rPr>
            <w:t>1.6工作原则</w:t>
          </w:r>
          <w:r>
            <w:tab/>
          </w:r>
          <w:r>
            <w:fldChar w:fldCharType="begin"/>
          </w:r>
          <w:r>
            <w:instrText xml:space="preserve"> PAGEREF _Toc153869651 \h </w:instrText>
          </w:r>
          <w:r>
            <w:fldChar w:fldCharType="separate"/>
          </w:r>
          <w:r>
            <w:t>7</w:t>
          </w:r>
          <w:r>
            <w:fldChar w:fldCharType="end"/>
          </w:r>
          <w:r>
            <w:fldChar w:fldCharType="end"/>
          </w:r>
        </w:p>
        <w:p>
          <w:pPr>
            <w:pStyle w:val="18"/>
            <w:rPr>
              <w:rFonts w:asciiTheme="minorHAnsi" w:hAnsiTheme="minorHAnsi" w:eastAsiaTheme="minorEastAsia" w:cstheme="minorBidi"/>
              <w:b w:val="0"/>
              <w:bCs w:val="0"/>
              <w:kern w:val="2"/>
              <w:sz w:val="21"/>
              <w:szCs w:val="22"/>
              <w14:ligatures w14:val="standardContextual"/>
            </w:rPr>
          </w:pPr>
          <w:r>
            <w:fldChar w:fldCharType="begin"/>
          </w:r>
          <w:r>
            <w:instrText xml:space="preserve"> HYPERLINK \l "_Toc153869652" </w:instrText>
          </w:r>
          <w:r>
            <w:fldChar w:fldCharType="separate"/>
          </w:r>
          <w:r>
            <w:rPr>
              <w:rStyle w:val="29"/>
            </w:rPr>
            <w:t>2应急组织指挥体系</w:t>
          </w:r>
          <w:r>
            <w:tab/>
          </w:r>
          <w:r>
            <w:fldChar w:fldCharType="begin"/>
          </w:r>
          <w:r>
            <w:instrText xml:space="preserve"> PAGEREF _Toc153869652 \h </w:instrText>
          </w:r>
          <w:r>
            <w:fldChar w:fldCharType="separate"/>
          </w:r>
          <w:r>
            <w:t>9</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"_Toc153869653" </w:instrText>
          </w:r>
          <w:r>
            <w:fldChar w:fldCharType="separate"/>
          </w:r>
          <w:r>
            <w:rPr>
              <w:rStyle w:val="29"/>
            </w:rPr>
            <w:t>2.1应急组织指挥机构</w:t>
          </w:r>
          <w:r>
            <w:tab/>
          </w:r>
          <w:r>
            <w:fldChar w:fldCharType="begin"/>
          </w:r>
          <w:r>
            <w:instrText xml:space="preserve"> PAGEREF _Toc153869653 \h </w:instrText>
          </w:r>
          <w:r>
            <w:fldChar w:fldCharType="separate"/>
          </w:r>
          <w:r>
            <w:t>9</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"_Toc153869654" </w:instrText>
          </w:r>
          <w:r>
            <w:fldChar w:fldCharType="separate"/>
          </w:r>
          <w:r>
            <w:rPr>
              <w:rStyle w:val="29"/>
            </w:rPr>
            <w:t>2.2现场应急指挥部</w:t>
          </w:r>
          <w:r>
            <w:tab/>
          </w:r>
          <w:r>
            <w:fldChar w:fldCharType="begin"/>
          </w:r>
          <w:r>
            <w:instrText xml:space="preserve"> PAGEREF _Toc153869654 \h </w:instrText>
          </w:r>
          <w:r>
            <w:fldChar w:fldCharType="separate"/>
          </w:r>
          <w:r>
            <w:t>16</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"_Toc153869655" </w:instrText>
          </w:r>
          <w:r>
            <w:fldChar w:fldCharType="separate"/>
          </w:r>
          <w:r>
            <w:rPr>
              <w:rStyle w:val="29"/>
            </w:rPr>
            <w:t>2.3现场应急工作组</w:t>
          </w:r>
          <w:r>
            <w:tab/>
          </w:r>
          <w:r>
            <w:fldChar w:fldCharType="begin"/>
          </w:r>
          <w:r>
            <w:instrText xml:space="preserve"> PAGEREF _Toc153869655 \h </w:instrText>
          </w:r>
          <w:r>
            <w:fldChar w:fldCharType="separate"/>
          </w:r>
          <w:r>
            <w:t>17</w:t>
          </w:r>
          <w:r>
            <w:fldChar w:fldCharType="end"/>
          </w:r>
          <w:r>
            <w:fldChar w:fldCharType="end"/>
          </w:r>
        </w:p>
        <w:p>
          <w:pPr>
            <w:pStyle w:val="18"/>
            <w:rPr>
              <w:rFonts w:asciiTheme="minorHAnsi" w:hAnsiTheme="minorHAnsi" w:eastAsiaTheme="minorEastAsia" w:cstheme="minorBidi"/>
              <w:b w:val="0"/>
              <w:bCs w:val="0"/>
              <w:kern w:val="2"/>
              <w:sz w:val="21"/>
              <w:szCs w:val="22"/>
              <w14:ligatures w14:val="standardContextual"/>
            </w:rPr>
          </w:pPr>
          <w:r>
            <w:fldChar w:fldCharType="begin"/>
          </w:r>
          <w:r>
            <w:instrText xml:space="preserve"> HYPERLINK \l "_Toc153869656" </w:instrText>
          </w:r>
          <w:r>
            <w:fldChar w:fldCharType="separate"/>
          </w:r>
          <w:r>
            <w:rPr>
              <w:rStyle w:val="29"/>
            </w:rPr>
            <w:t>3应急响应</w:t>
          </w:r>
          <w:r>
            <w:tab/>
          </w:r>
          <w:r>
            <w:fldChar w:fldCharType="begin"/>
          </w:r>
          <w:r>
            <w:instrText xml:space="preserve"> PAGEREF _Toc153869656 \h </w:instrText>
          </w:r>
          <w:r>
            <w:fldChar w:fldCharType="separate"/>
          </w:r>
          <w:r>
            <w:t>21</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"_Toc153869657" </w:instrText>
          </w:r>
          <w:r>
            <w:fldChar w:fldCharType="separate"/>
          </w:r>
          <w:r>
            <w:rPr>
              <w:rStyle w:val="29"/>
            </w:rPr>
            <w:t>3.1预警</w:t>
          </w:r>
          <w:r>
            <w:tab/>
          </w:r>
          <w:r>
            <w:fldChar w:fldCharType="begin"/>
          </w:r>
          <w:r>
            <w:instrText xml:space="preserve"> PAGEREF _Toc153869657 \h </w:instrText>
          </w:r>
          <w:r>
            <w:fldChar w:fldCharType="separate"/>
          </w:r>
          <w:r>
            <w:t>21</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"_Toc153869658" </w:instrText>
          </w:r>
          <w:r>
            <w:fldChar w:fldCharType="separate"/>
          </w:r>
          <w:r>
            <w:rPr>
              <w:rStyle w:val="29"/>
            </w:rPr>
            <w:t>3.2信息报告与通报</w:t>
          </w:r>
          <w:r>
            <w:tab/>
          </w:r>
          <w:r>
            <w:fldChar w:fldCharType="begin"/>
          </w:r>
          <w:r>
            <w:instrText xml:space="preserve"> PAGEREF _Toc153869658 \h </w:instrText>
          </w:r>
          <w:r>
            <w:fldChar w:fldCharType="separate"/>
          </w:r>
          <w:r>
            <w:t>29</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"_Toc153869659" </w:instrText>
          </w:r>
          <w:r>
            <w:fldChar w:fldCharType="separate"/>
          </w:r>
          <w:r>
            <w:rPr>
              <w:rStyle w:val="29"/>
            </w:rPr>
            <w:t>3.3事态研判</w:t>
          </w:r>
          <w:r>
            <w:tab/>
          </w:r>
          <w:r>
            <w:fldChar w:fldCharType="begin"/>
          </w:r>
          <w:r>
            <w:instrText xml:space="preserve"> PAGEREF _Toc153869659 \h </w:instrText>
          </w:r>
          <w:r>
            <w:fldChar w:fldCharType="separate"/>
          </w:r>
          <w:r>
            <w:t>33</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"_Toc153869660" </w:instrText>
          </w:r>
          <w:r>
            <w:fldChar w:fldCharType="separate"/>
          </w:r>
          <w:r>
            <w:rPr>
              <w:rStyle w:val="29"/>
            </w:rPr>
            <w:t>3.4应急监测</w:t>
          </w:r>
          <w:r>
            <w:tab/>
          </w:r>
          <w:r>
            <w:fldChar w:fldCharType="begin"/>
          </w:r>
          <w:r>
            <w:instrText xml:space="preserve"> PAGEREF _Toc153869660 \h </w:instrText>
          </w:r>
          <w:r>
            <w:fldChar w:fldCharType="separate"/>
          </w:r>
          <w:r>
            <w:t>34</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"_Toc153869661" </w:instrText>
          </w:r>
          <w:r>
            <w:fldChar w:fldCharType="separate"/>
          </w:r>
          <w:r>
            <w:rPr>
              <w:rStyle w:val="29"/>
            </w:rPr>
            <w:t>3.5污染源排查与处置</w:t>
          </w:r>
          <w:r>
            <w:tab/>
          </w:r>
          <w:r>
            <w:fldChar w:fldCharType="begin"/>
          </w:r>
          <w:r>
            <w:instrText xml:space="preserve"> PAGEREF _Toc153869661 \h </w:instrText>
          </w:r>
          <w:r>
            <w:fldChar w:fldCharType="separate"/>
          </w:r>
          <w:r>
            <w:t>37</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"_Toc153869662" </w:instrText>
          </w:r>
          <w:r>
            <w:fldChar w:fldCharType="separate"/>
          </w:r>
          <w:r>
            <w:rPr>
              <w:rStyle w:val="29"/>
            </w:rPr>
            <w:t>3.6应急处置</w:t>
          </w:r>
          <w:r>
            <w:tab/>
          </w:r>
          <w:r>
            <w:fldChar w:fldCharType="begin"/>
          </w:r>
          <w:r>
            <w:instrText xml:space="preserve"> PAGEREF _Toc153869662 \h </w:instrText>
          </w:r>
          <w:r>
            <w:fldChar w:fldCharType="separate"/>
          </w:r>
          <w:r>
            <w:t>39</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"_Toc153869663" </w:instrText>
          </w:r>
          <w:r>
            <w:fldChar w:fldCharType="separate"/>
          </w:r>
          <w:r>
            <w:rPr>
              <w:rStyle w:val="29"/>
            </w:rPr>
            <w:t>3.7物资调集及应急设施启用</w:t>
          </w:r>
          <w:r>
            <w:tab/>
          </w:r>
          <w:r>
            <w:fldChar w:fldCharType="begin"/>
          </w:r>
          <w:r>
            <w:instrText xml:space="preserve"> PAGEREF _Toc153869663 \h </w:instrText>
          </w:r>
          <w:r>
            <w:fldChar w:fldCharType="separate"/>
          </w:r>
          <w:r>
            <w:t>42</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"_Toc153869664" </w:instrText>
          </w:r>
          <w:r>
            <w:fldChar w:fldCharType="separate"/>
          </w:r>
          <w:r>
            <w:rPr>
              <w:rStyle w:val="29"/>
            </w:rPr>
            <w:t>3.8舆情监测与信息发布</w:t>
          </w:r>
          <w:r>
            <w:tab/>
          </w:r>
          <w:r>
            <w:fldChar w:fldCharType="begin"/>
          </w:r>
          <w:r>
            <w:instrText xml:space="preserve"> PAGEREF _Toc153869664 \h </w:instrText>
          </w:r>
          <w:r>
            <w:fldChar w:fldCharType="separate"/>
          </w:r>
          <w:r>
            <w:t>43</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"_Toc153869665" </w:instrText>
          </w:r>
          <w:r>
            <w:fldChar w:fldCharType="separate"/>
          </w:r>
          <w:r>
            <w:rPr>
              <w:rStyle w:val="29"/>
            </w:rPr>
            <w:t>3.9响应终止</w:t>
          </w:r>
          <w:r>
            <w:tab/>
          </w:r>
          <w:r>
            <w:fldChar w:fldCharType="begin"/>
          </w:r>
          <w:r>
            <w:instrText xml:space="preserve"> PAGEREF _Toc153869665 \h </w:instrText>
          </w:r>
          <w:r>
            <w:fldChar w:fldCharType="separate"/>
          </w:r>
          <w:r>
            <w:t>43</w:t>
          </w:r>
          <w:r>
            <w:fldChar w:fldCharType="end"/>
          </w:r>
          <w:r>
            <w:fldChar w:fldCharType="end"/>
          </w:r>
        </w:p>
        <w:p>
          <w:pPr>
            <w:pStyle w:val="18"/>
            <w:rPr>
              <w:rFonts w:asciiTheme="minorHAnsi" w:hAnsiTheme="minorHAnsi" w:eastAsiaTheme="minorEastAsia" w:cstheme="minorBidi"/>
              <w:b w:val="0"/>
              <w:bCs w:val="0"/>
              <w:kern w:val="2"/>
              <w:sz w:val="21"/>
              <w:szCs w:val="22"/>
              <w14:ligatures w14:val="standardContextual"/>
            </w:rPr>
          </w:pPr>
          <w:r>
            <w:fldChar w:fldCharType="begin"/>
          </w:r>
          <w:r>
            <w:instrText xml:space="preserve"> HYPERLINK \l "_Toc153869666" </w:instrText>
          </w:r>
          <w:r>
            <w:fldChar w:fldCharType="separate"/>
          </w:r>
          <w:r>
            <w:rPr>
              <w:rStyle w:val="29"/>
            </w:rPr>
            <w:t>4后期工作</w:t>
          </w:r>
          <w:r>
            <w:tab/>
          </w:r>
          <w:r>
            <w:fldChar w:fldCharType="begin"/>
          </w:r>
          <w:r>
            <w:instrText xml:space="preserve"> PAGEREF _Toc153869666 \h </w:instrText>
          </w:r>
          <w:r>
            <w:fldChar w:fldCharType="separate"/>
          </w:r>
          <w:r>
            <w:t>45</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"_Toc153869667" </w:instrText>
          </w:r>
          <w:r>
            <w:fldChar w:fldCharType="separate"/>
          </w:r>
          <w:r>
            <w:rPr>
              <w:rStyle w:val="29"/>
            </w:rPr>
            <w:t>4.1后期防控</w:t>
          </w:r>
          <w:r>
            <w:tab/>
          </w:r>
          <w:r>
            <w:fldChar w:fldCharType="begin"/>
          </w:r>
          <w:r>
            <w:instrText xml:space="preserve"> PAGEREF _Toc153869667 \h </w:instrText>
          </w:r>
          <w:r>
            <w:fldChar w:fldCharType="separate"/>
          </w:r>
          <w:r>
            <w:t>45</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"_Toc153869668" </w:instrText>
          </w:r>
          <w:r>
            <w:fldChar w:fldCharType="separate"/>
          </w:r>
          <w:r>
            <w:rPr>
              <w:rStyle w:val="29"/>
            </w:rPr>
            <w:t>4.2事件调查</w:t>
          </w:r>
          <w:r>
            <w:tab/>
          </w:r>
          <w:r>
            <w:fldChar w:fldCharType="begin"/>
          </w:r>
          <w:r>
            <w:instrText xml:space="preserve"> PAGEREF _Toc153869668 \h </w:instrText>
          </w:r>
          <w:r>
            <w:fldChar w:fldCharType="separate"/>
          </w:r>
          <w:r>
            <w:t>47</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"_Toc153869669" </w:instrText>
          </w:r>
          <w:r>
            <w:fldChar w:fldCharType="separate"/>
          </w:r>
          <w:r>
            <w:rPr>
              <w:rStyle w:val="29"/>
            </w:rPr>
            <w:t>4.3损害评估</w:t>
          </w:r>
          <w:r>
            <w:tab/>
          </w:r>
          <w:r>
            <w:fldChar w:fldCharType="begin"/>
          </w:r>
          <w:r>
            <w:instrText xml:space="preserve"> PAGEREF _Toc153869669 \h </w:instrText>
          </w:r>
          <w:r>
            <w:fldChar w:fldCharType="separate"/>
          </w:r>
          <w:r>
            <w:t>47</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"_Toc153869670" </w:instrText>
          </w:r>
          <w:r>
            <w:fldChar w:fldCharType="separate"/>
          </w:r>
          <w:r>
            <w:rPr>
              <w:rStyle w:val="29"/>
            </w:rPr>
            <w:t>4.4善后处置</w:t>
          </w:r>
          <w:r>
            <w:tab/>
          </w:r>
          <w:r>
            <w:fldChar w:fldCharType="begin"/>
          </w:r>
          <w:r>
            <w:instrText xml:space="preserve"> PAGEREF _Toc153869670 \h </w:instrText>
          </w:r>
          <w:r>
            <w:fldChar w:fldCharType="separate"/>
          </w:r>
          <w:r>
            <w:t>48</w:t>
          </w:r>
          <w:r>
            <w:fldChar w:fldCharType="end"/>
          </w:r>
          <w:r>
            <w:fldChar w:fldCharType="end"/>
          </w:r>
        </w:p>
        <w:p>
          <w:pPr>
            <w:pStyle w:val="18"/>
            <w:rPr>
              <w:rFonts w:asciiTheme="minorHAnsi" w:hAnsiTheme="minorHAnsi" w:eastAsiaTheme="minorEastAsia" w:cstheme="minorBidi"/>
              <w:b w:val="0"/>
              <w:bCs w:val="0"/>
              <w:kern w:val="2"/>
              <w:sz w:val="21"/>
              <w:szCs w:val="22"/>
              <w14:ligatures w14:val="standardContextual"/>
            </w:rPr>
          </w:pPr>
          <w:r>
            <w:fldChar w:fldCharType="begin"/>
          </w:r>
          <w:r>
            <w:instrText xml:space="preserve"> HYPERLINK \l "_Toc153869671" </w:instrText>
          </w:r>
          <w:r>
            <w:fldChar w:fldCharType="separate"/>
          </w:r>
          <w:r>
            <w:rPr>
              <w:rStyle w:val="29"/>
            </w:rPr>
            <w:t>5应急保障</w:t>
          </w:r>
          <w:r>
            <w:tab/>
          </w:r>
          <w:r>
            <w:fldChar w:fldCharType="begin"/>
          </w:r>
          <w:r>
            <w:instrText xml:space="preserve"> PAGEREF _Toc153869671 \h </w:instrText>
          </w:r>
          <w:r>
            <w:fldChar w:fldCharType="separate"/>
          </w:r>
          <w:r>
            <w:t>49</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"_Toc153869672" </w:instrText>
          </w:r>
          <w:r>
            <w:fldChar w:fldCharType="separate"/>
          </w:r>
          <w:r>
            <w:rPr>
              <w:rStyle w:val="29"/>
            </w:rPr>
            <w:t>5.1通讯与信息保障</w:t>
          </w:r>
          <w:r>
            <w:tab/>
          </w:r>
          <w:r>
            <w:fldChar w:fldCharType="begin"/>
          </w:r>
          <w:r>
            <w:instrText xml:space="preserve"> PAGEREF _Toc153869672 \h </w:instrText>
          </w:r>
          <w:r>
            <w:fldChar w:fldCharType="separate"/>
          </w:r>
          <w:r>
            <w:t>49</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"_Toc153869673" </w:instrText>
          </w:r>
          <w:r>
            <w:fldChar w:fldCharType="separate"/>
          </w:r>
          <w:r>
            <w:rPr>
              <w:rStyle w:val="29"/>
            </w:rPr>
            <w:t>5.2应急队伍保障</w:t>
          </w:r>
          <w:r>
            <w:tab/>
          </w:r>
          <w:r>
            <w:fldChar w:fldCharType="begin"/>
          </w:r>
          <w:r>
            <w:instrText xml:space="preserve"> PAGEREF _Toc153869673 \h </w:instrText>
          </w:r>
          <w:r>
            <w:fldChar w:fldCharType="separate"/>
          </w:r>
          <w:r>
            <w:t>49</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"_Toc153869674" </w:instrText>
          </w:r>
          <w:r>
            <w:fldChar w:fldCharType="separate"/>
          </w:r>
          <w:r>
            <w:rPr>
              <w:rStyle w:val="29"/>
            </w:rPr>
            <w:t>5.3应急资源保障</w:t>
          </w:r>
          <w:r>
            <w:tab/>
          </w:r>
          <w:r>
            <w:fldChar w:fldCharType="begin"/>
          </w:r>
          <w:r>
            <w:instrText xml:space="preserve"> PAGEREF _Toc153869674 \h </w:instrText>
          </w:r>
          <w:r>
            <w:fldChar w:fldCharType="separate"/>
          </w:r>
          <w:r>
            <w:t>50</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"_Toc153869675" </w:instrText>
          </w:r>
          <w:r>
            <w:fldChar w:fldCharType="separate"/>
          </w:r>
          <w:r>
            <w:rPr>
              <w:rStyle w:val="29"/>
            </w:rPr>
            <w:t>5.4经费保障</w:t>
          </w:r>
          <w:r>
            <w:tab/>
          </w:r>
          <w:r>
            <w:fldChar w:fldCharType="begin"/>
          </w:r>
          <w:r>
            <w:instrText xml:space="preserve"> PAGEREF _Toc153869675 \h </w:instrText>
          </w:r>
          <w:r>
            <w:fldChar w:fldCharType="separate"/>
          </w:r>
          <w:r>
            <w:t>50</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"_Toc153869676" </w:instrText>
          </w:r>
          <w:r>
            <w:fldChar w:fldCharType="separate"/>
          </w:r>
          <w:r>
            <w:rPr>
              <w:rStyle w:val="29"/>
            </w:rPr>
            <w:t>5.5其他保障</w:t>
          </w:r>
          <w:r>
            <w:tab/>
          </w:r>
          <w:r>
            <w:fldChar w:fldCharType="begin"/>
          </w:r>
          <w:r>
            <w:instrText xml:space="preserve"> PAGEREF _Toc153869676 \h </w:instrText>
          </w:r>
          <w:r>
            <w:fldChar w:fldCharType="separate"/>
          </w:r>
          <w:r>
            <w:t>50</w:t>
          </w:r>
          <w:r>
            <w:fldChar w:fldCharType="end"/>
          </w:r>
          <w:r>
            <w:fldChar w:fldCharType="end"/>
          </w:r>
        </w:p>
        <w:p>
          <w:pPr>
            <w:pStyle w:val="18"/>
            <w:rPr>
              <w:rFonts w:asciiTheme="minorHAnsi" w:hAnsiTheme="minorHAnsi" w:eastAsiaTheme="minorEastAsia" w:cstheme="minorBidi"/>
              <w:b w:val="0"/>
              <w:bCs w:val="0"/>
              <w:kern w:val="2"/>
              <w:sz w:val="21"/>
              <w:szCs w:val="22"/>
              <w14:ligatures w14:val="standardContextual"/>
            </w:rPr>
          </w:pPr>
          <w:r>
            <w:fldChar w:fldCharType="begin"/>
          </w:r>
          <w:r>
            <w:instrText xml:space="preserve"> HYPERLINK \l "_Toc153869677" </w:instrText>
          </w:r>
          <w:r>
            <w:fldChar w:fldCharType="separate"/>
          </w:r>
          <w:r>
            <w:rPr>
              <w:rStyle w:val="29"/>
            </w:rPr>
            <w:t>6附则</w:t>
          </w:r>
          <w:r>
            <w:tab/>
          </w:r>
          <w:r>
            <w:fldChar w:fldCharType="begin"/>
          </w:r>
          <w:r>
            <w:instrText xml:space="preserve"> PAGEREF _Toc153869677 \h </w:instrText>
          </w:r>
          <w:r>
            <w:fldChar w:fldCharType="separate"/>
          </w:r>
          <w:r>
            <w:t>52</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"_Toc153869678" </w:instrText>
          </w:r>
          <w:r>
            <w:fldChar w:fldCharType="separate"/>
          </w:r>
          <w:r>
            <w:rPr>
              <w:rStyle w:val="29"/>
            </w:rPr>
            <w:t>6.1名词术语</w:t>
          </w:r>
          <w:r>
            <w:tab/>
          </w:r>
          <w:r>
            <w:fldChar w:fldCharType="begin"/>
          </w:r>
          <w:r>
            <w:instrText xml:space="preserve"> PAGEREF _Toc153869678 \h </w:instrText>
          </w:r>
          <w:r>
            <w:fldChar w:fldCharType="separate"/>
          </w:r>
          <w:r>
            <w:t>52</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"_Toc153869679" </w:instrText>
          </w:r>
          <w:r>
            <w:fldChar w:fldCharType="separate"/>
          </w:r>
          <w:r>
            <w:rPr>
              <w:rStyle w:val="29"/>
            </w:rPr>
            <w:t>6.2预案解释权属</w:t>
          </w:r>
          <w:r>
            <w:tab/>
          </w:r>
          <w:r>
            <w:fldChar w:fldCharType="begin"/>
          </w:r>
          <w:r>
            <w:instrText xml:space="preserve"> PAGEREF _Toc153869679 \h </w:instrText>
          </w:r>
          <w:r>
            <w:fldChar w:fldCharType="separate"/>
          </w:r>
          <w:r>
            <w:t>53</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"_Toc153869680" </w:instrText>
          </w:r>
          <w:r>
            <w:fldChar w:fldCharType="separate"/>
          </w:r>
          <w:r>
            <w:rPr>
              <w:rStyle w:val="29"/>
            </w:rPr>
            <w:t>6.3预案演练和修订</w:t>
          </w:r>
          <w:r>
            <w:tab/>
          </w:r>
          <w:r>
            <w:fldChar w:fldCharType="begin"/>
          </w:r>
          <w:r>
            <w:instrText xml:space="preserve"> PAGEREF _Toc153869680 \h </w:instrText>
          </w:r>
          <w:r>
            <w:fldChar w:fldCharType="separate"/>
          </w:r>
          <w:r>
            <w:t>53</w:t>
          </w:r>
          <w:r>
            <w:fldChar w:fldCharType="end"/>
          </w:r>
          <w:r>
            <w:fldChar w:fldCharType="end"/>
          </w:r>
        </w:p>
        <w:p>
          <w:pPr>
            <w:pStyle w:val="21"/>
            <w:ind w:firstLine="560"/>
            <w:rPr>
              <w:rFonts w:asciiTheme="minorHAnsi" w:hAnsiTheme="minorHAnsi" w:eastAsiaTheme="minorEastAsia" w:cstheme="minorBidi"/>
              <w:bCs w:val="0"/>
              <w:kern w:val="2"/>
              <w:sz w:val="21"/>
              <w:szCs w:val="22"/>
              <w14:ligatures w14:val="standardContextual"/>
            </w:rPr>
          </w:pPr>
          <w:r>
            <w:fldChar w:fldCharType="begin"/>
          </w:r>
          <w:r>
            <w:instrText xml:space="preserve"> HYPERLINK \l "_Toc153869681" </w:instrText>
          </w:r>
          <w:r>
            <w:fldChar w:fldCharType="separate"/>
          </w:r>
          <w:r>
            <w:rPr>
              <w:rStyle w:val="29"/>
            </w:rPr>
            <w:t>6.4预案实施日期</w:t>
          </w:r>
          <w:r>
            <w:tab/>
          </w:r>
          <w:r>
            <w:fldChar w:fldCharType="begin"/>
          </w:r>
          <w:r>
            <w:instrText xml:space="preserve"> PAGEREF _Toc153869681 \h </w:instrText>
          </w:r>
          <w:r>
            <w:fldChar w:fldCharType="separate"/>
          </w:r>
          <w:r>
            <w:t>54</w:t>
          </w:r>
          <w:r>
            <w:fldChar w:fldCharType="end"/>
          </w:r>
          <w:r>
            <w:fldChar w:fldCharType="end"/>
          </w:r>
        </w:p>
        <w:p>
          <w:pPr>
            <w:ind w:firstLine="562"/>
          </w:pPr>
          <w:r>
            <w:rPr>
              <w:b/>
              <w:bCs/>
              <w:kern w:val="44"/>
              <w:szCs w:val="44"/>
            </w:rPr>
            <w:fldChar w:fldCharType="end"/>
          </w:r>
        </w:p>
      </w:sdtContent>
    </w:sdt>
    <w:p>
      <w:pPr>
        <w:ind w:firstLine="0" w:firstLineChars="0"/>
        <w:sectPr>
          <w:footerReference r:id="rId10" w:type="default"/>
          <w:pgSz w:w="11906" w:h="16838"/>
          <w:pgMar w:top="1440" w:right="1800" w:bottom="1440" w:left="1800" w:header="851" w:footer="992" w:gutter="0"/>
          <w:pgNumType w:fmt="upperRoman" w:start="1"/>
          <w:cols w:space="425" w:num="1"/>
          <w:docGrid w:type="lines" w:linePitch="312" w:charSpace="0"/>
        </w:sectPr>
      </w:pPr>
    </w:p>
    <w:p>
      <w:pPr>
        <w:pStyle w:val="2"/>
      </w:pPr>
      <w:bookmarkStart w:id="0" w:name="_Toc153869645"/>
      <w:r>
        <w:rPr>
          <w:rFonts w:hint="eastAsia"/>
        </w:rPr>
        <w:t>1总则</w:t>
      </w:r>
      <w:bookmarkEnd w:id="0"/>
    </w:p>
    <w:p>
      <w:pPr>
        <w:pStyle w:val="37"/>
      </w:pPr>
      <w:bookmarkStart w:id="1" w:name="_Toc153869646"/>
      <w:r>
        <w:rPr>
          <w:rFonts w:hint="eastAsia"/>
        </w:rPr>
        <w:t>1.1编制目的</w:t>
      </w:r>
      <w:bookmarkEnd w:id="1"/>
    </w:p>
    <w:p>
      <w:pPr>
        <w:ind w:firstLine="560"/>
      </w:pPr>
      <w:r>
        <w:rPr>
          <w:rFonts w:hint="eastAsia"/>
        </w:rPr>
        <w:t>为切实做好休宁县集中式饮用水水源地突发环境事件应急工作，建立健全饮用水水源地突发环境事件的应急机制，高效、有序地组织预警、控制和处置饮用水水源地突发环境事件，提高政府应对饮用水水源地突发环境事件的能力，确保饮用水水源安全，维护社会稳定，保障公众生命健康和财产安全，保护环境，促进经济社会全面、协调、可持续发展，特制定本预案。</w:t>
      </w:r>
    </w:p>
    <w:p>
      <w:pPr>
        <w:pStyle w:val="37"/>
      </w:pPr>
      <w:bookmarkStart w:id="2" w:name="_Toc153869647"/>
      <w:r>
        <w:rPr>
          <w:rFonts w:hint="eastAsia"/>
        </w:rPr>
        <w:t>1.2编制依据</w:t>
      </w:r>
      <w:bookmarkEnd w:id="2"/>
    </w:p>
    <w:p>
      <w:pPr>
        <w:pStyle w:val="38"/>
        <w:spacing w:before="120" w:after="120"/>
        <w:ind w:firstLine="562"/>
      </w:pPr>
      <w:r>
        <w:rPr>
          <w:rFonts w:hint="eastAsia"/>
        </w:rPr>
        <w:t>1</w:t>
      </w:r>
      <w:r>
        <w:t>.2.1</w:t>
      </w:r>
      <w:r>
        <w:rPr>
          <w:rFonts w:hint="eastAsia"/>
        </w:rPr>
        <w:t>法律法规</w:t>
      </w:r>
    </w:p>
    <w:p>
      <w:pPr>
        <w:pStyle w:val="40"/>
        <w:numPr>
          <w:ilvl w:val="0"/>
          <w:numId w:val="3"/>
        </w:numPr>
      </w:pPr>
      <w:r>
        <w:rPr>
          <w:rFonts w:hint="eastAsia"/>
        </w:rPr>
        <w:t>《中华人民共和国突发事件应对法》（2007年11月1日）；</w:t>
      </w:r>
    </w:p>
    <w:p>
      <w:pPr>
        <w:pStyle w:val="40"/>
        <w:numPr>
          <w:ilvl w:val="0"/>
          <w:numId w:val="3"/>
        </w:numPr>
      </w:pPr>
      <w:r>
        <w:rPr>
          <w:rFonts w:hint="eastAsia"/>
        </w:rPr>
        <w:t>《中华人民共和国环境保护法》（2015年1月1日）；</w:t>
      </w:r>
    </w:p>
    <w:p>
      <w:pPr>
        <w:pStyle w:val="40"/>
        <w:numPr>
          <w:ilvl w:val="0"/>
          <w:numId w:val="3"/>
        </w:numPr>
      </w:pPr>
      <w:r>
        <w:rPr>
          <w:rFonts w:hint="eastAsia"/>
        </w:rPr>
        <w:t>《中华人民共和国水污染防治法》（2017年6月27日修正，2018年1月1日正式施行）；</w:t>
      </w:r>
    </w:p>
    <w:p>
      <w:pPr>
        <w:pStyle w:val="40"/>
        <w:numPr>
          <w:ilvl w:val="0"/>
          <w:numId w:val="3"/>
        </w:numPr>
      </w:pPr>
      <w:r>
        <w:rPr>
          <w:szCs w:val="28"/>
        </w:rPr>
        <w:t>《安徽省饮用水水源环境保护条例</w:t>
      </w:r>
      <w:r>
        <w:rPr>
          <w:rFonts w:hint="eastAsia"/>
        </w:rPr>
        <w:t>》（2016年10月8日修订，2016年12月1</w:t>
      </w:r>
      <w:r>
        <w:rPr>
          <w:rFonts w:hint="eastAsia"/>
          <w:szCs w:val="28"/>
        </w:rPr>
        <w:t>日</w:t>
      </w:r>
      <w:r>
        <w:rPr>
          <w:szCs w:val="28"/>
        </w:rPr>
        <w:t>起施行</w:t>
      </w:r>
      <w:r>
        <w:rPr>
          <w:rFonts w:hint="eastAsia"/>
          <w:szCs w:val="28"/>
        </w:rPr>
        <w:t>）</w:t>
      </w:r>
      <w:r>
        <w:rPr>
          <w:rFonts w:hint="eastAsia"/>
        </w:rPr>
        <w:t>；</w:t>
      </w:r>
    </w:p>
    <w:p>
      <w:pPr>
        <w:pStyle w:val="40"/>
        <w:numPr>
          <w:ilvl w:val="0"/>
          <w:numId w:val="3"/>
        </w:numPr>
      </w:pPr>
      <w:r>
        <w:rPr>
          <w:rFonts w:hint="eastAsia"/>
        </w:rPr>
        <w:t>《突发环境事件信息报告办法》（环境保护部令第17号）；</w:t>
      </w:r>
    </w:p>
    <w:p>
      <w:pPr>
        <w:pStyle w:val="40"/>
        <w:numPr>
          <w:ilvl w:val="0"/>
          <w:numId w:val="3"/>
        </w:numPr>
      </w:pPr>
      <w:r>
        <w:rPr>
          <w:rFonts w:hint="eastAsia"/>
        </w:rPr>
        <w:t>《突发环境事件应急管理办法》（环境保护部令第34号）；</w:t>
      </w:r>
    </w:p>
    <w:p>
      <w:pPr>
        <w:pStyle w:val="40"/>
        <w:numPr>
          <w:ilvl w:val="0"/>
          <w:numId w:val="3"/>
        </w:numPr>
      </w:pPr>
      <w:r>
        <w:rPr>
          <w:rFonts w:hint="eastAsia"/>
        </w:rPr>
        <w:t>《突发环境事件应急预案管理暂行办法》（环发</w:t>
      </w:r>
      <w:bookmarkStart w:id="3" w:name="_Hlk39734050"/>
      <w:r>
        <w:rPr>
          <w:rFonts w:hint="eastAsia"/>
        </w:rPr>
        <w:t>〔2010〕113号</w:t>
      </w:r>
      <w:bookmarkEnd w:id="3"/>
      <w:r>
        <w:rPr>
          <w:rFonts w:hint="eastAsia"/>
        </w:rPr>
        <w:t>）；</w:t>
      </w:r>
    </w:p>
    <w:p>
      <w:pPr>
        <w:pStyle w:val="40"/>
        <w:numPr>
          <w:ilvl w:val="0"/>
          <w:numId w:val="3"/>
        </w:numPr>
      </w:pPr>
      <w:r>
        <w:rPr>
          <w:rFonts w:hint="eastAsia"/>
        </w:rPr>
        <w:t>《安徽省突发事件应急预案管理办法》（2</w:t>
      </w:r>
      <w:r>
        <w:t>014</w:t>
      </w:r>
      <w:r>
        <w:rPr>
          <w:rFonts w:hint="eastAsia"/>
        </w:rPr>
        <w:t>年1月1日施行）</w:t>
      </w:r>
    </w:p>
    <w:p>
      <w:pPr>
        <w:pStyle w:val="40"/>
        <w:numPr>
          <w:ilvl w:val="0"/>
          <w:numId w:val="3"/>
        </w:numPr>
      </w:pPr>
      <w:r>
        <w:rPr>
          <w:rFonts w:hint="eastAsia"/>
        </w:rPr>
        <w:t>《城市供水水质管理规定》（建设部令第156号，2015年6月5日）；</w:t>
      </w:r>
    </w:p>
    <w:p>
      <w:pPr>
        <w:pStyle w:val="40"/>
        <w:numPr>
          <w:ilvl w:val="0"/>
          <w:numId w:val="3"/>
        </w:numPr>
      </w:pPr>
      <w:r>
        <w:rPr>
          <w:rFonts w:hint="eastAsia"/>
        </w:rPr>
        <w:t>《生活饮用水卫生监督管理办法》（2</w:t>
      </w:r>
      <w:r>
        <w:t>016</w:t>
      </w:r>
      <w:r>
        <w:rPr>
          <w:rFonts w:hint="eastAsia"/>
        </w:rPr>
        <w:t>年6月1日施行）。</w:t>
      </w:r>
    </w:p>
    <w:p>
      <w:pPr>
        <w:pStyle w:val="38"/>
        <w:spacing w:before="120" w:after="120"/>
        <w:ind w:firstLine="562"/>
      </w:pPr>
      <w:r>
        <w:rPr>
          <w:rFonts w:hint="eastAsia"/>
        </w:rPr>
        <w:t>1</w:t>
      </w:r>
      <w:r>
        <w:t>.2.2</w:t>
      </w:r>
      <w:r>
        <w:rPr>
          <w:rFonts w:hint="eastAsia"/>
        </w:rPr>
        <w:t>有关预案、标准规范和相关文件</w:t>
      </w:r>
    </w:p>
    <w:p>
      <w:pPr>
        <w:pStyle w:val="40"/>
        <w:numPr>
          <w:ilvl w:val="0"/>
          <w:numId w:val="4"/>
        </w:numPr>
      </w:pPr>
      <w:r>
        <w:rPr>
          <w:rFonts w:hint="eastAsia"/>
        </w:rPr>
        <w:t>《国家突发公共事件总体应急预案》（2006年1月）；</w:t>
      </w:r>
    </w:p>
    <w:p>
      <w:pPr>
        <w:pStyle w:val="40"/>
        <w:numPr>
          <w:ilvl w:val="0"/>
          <w:numId w:val="4"/>
        </w:numPr>
      </w:pPr>
      <w:r>
        <w:rPr>
          <w:rFonts w:hint="eastAsia"/>
        </w:rPr>
        <w:t>《国家突发环境事件应急预案》（2014年12月）；</w:t>
      </w:r>
    </w:p>
    <w:p>
      <w:pPr>
        <w:pStyle w:val="40"/>
        <w:numPr>
          <w:ilvl w:val="0"/>
          <w:numId w:val="4"/>
        </w:numPr>
      </w:pPr>
      <w:r>
        <w:rPr>
          <w:rFonts w:hint="eastAsia"/>
        </w:rPr>
        <w:t>《国家安全生产事故灾难应急预案》（2006年1月）；</w:t>
      </w:r>
    </w:p>
    <w:p>
      <w:pPr>
        <w:pStyle w:val="40"/>
        <w:numPr>
          <w:ilvl w:val="0"/>
          <w:numId w:val="4"/>
        </w:numPr>
      </w:pPr>
      <w:r>
        <w:rPr>
          <w:rFonts w:hint="eastAsia"/>
        </w:rPr>
        <w:t>《水利部应对重大突发水污染事件应急预案》（水汛〔2009〕488号）；</w:t>
      </w:r>
    </w:p>
    <w:p>
      <w:pPr>
        <w:pStyle w:val="40"/>
        <w:numPr>
          <w:ilvl w:val="0"/>
          <w:numId w:val="4"/>
        </w:numPr>
      </w:pPr>
      <w:r>
        <w:rPr>
          <w:rFonts w:hint="eastAsia"/>
        </w:rPr>
        <w:t>《关于切实加强饮用水水源保护妥善应对突发环境事件的通知》（环办函〔2014〕498号）；</w:t>
      </w:r>
    </w:p>
    <w:p>
      <w:pPr>
        <w:pStyle w:val="40"/>
        <w:numPr>
          <w:ilvl w:val="0"/>
          <w:numId w:val="4"/>
        </w:numPr>
      </w:pPr>
      <w:r>
        <w:rPr>
          <w:rFonts w:hint="eastAsia"/>
        </w:rPr>
        <w:t>《国务院办公厅秘书局关于进一步加强应急预案管理的通知》（国办秘函〔2016〕46号）；</w:t>
      </w:r>
    </w:p>
    <w:p>
      <w:pPr>
        <w:pStyle w:val="40"/>
        <w:numPr>
          <w:ilvl w:val="0"/>
          <w:numId w:val="4"/>
        </w:numPr>
      </w:pPr>
      <w:r>
        <w:rPr>
          <w:rFonts w:hint="eastAsia"/>
        </w:rPr>
        <w:t>《安徽省突发事件总体应急预案》（皖政秘〔2020〕147号）；</w:t>
      </w:r>
    </w:p>
    <w:p>
      <w:pPr>
        <w:pStyle w:val="40"/>
        <w:numPr>
          <w:ilvl w:val="0"/>
          <w:numId w:val="4"/>
        </w:numPr>
      </w:pPr>
      <w:r>
        <w:rPr>
          <w:rFonts w:hint="eastAsia"/>
        </w:rPr>
        <w:t>《黄山市突发事件总体应急预案》（黄政秘〔2020〕43号）；</w:t>
      </w:r>
    </w:p>
    <w:p>
      <w:pPr>
        <w:pStyle w:val="40"/>
        <w:numPr>
          <w:ilvl w:val="0"/>
          <w:numId w:val="4"/>
        </w:numPr>
      </w:pPr>
      <w:r>
        <w:rPr>
          <w:rFonts w:hint="eastAsia"/>
        </w:rPr>
        <w:t>《黄山市突发环境事件应急预案》（黄政办秘[</w:t>
      </w:r>
      <w:r>
        <w:t>2017]25</w:t>
      </w:r>
      <w:r>
        <w:rPr>
          <w:rFonts w:hint="eastAsia"/>
        </w:rPr>
        <w:t>号）；</w:t>
      </w:r>
    </w:p>
    <w:p>
      <w:pPr>
        <w:pStyle w:val="40"/>
        <w:numPr>
          <w:ilvl w:val="0"/>
          <w:numId w:val="4"/>
        </w:numPr>
      </w:pPr>
      <w:r>
        <w:rPr>
          <w:rFonts w:hint="eastAsia"/>
        </w:rPr>
        <w:t>《休宁县突发事件总体应急预案》（休政秘〔2021〕27号）；</w:t>
      </w:r>
    </w:p>
    <w:p>
      <w:pPr>
        <w:pStyle w:val="40"/>
        <w:numPr>
          <w:ilvl w:val="0"/>
          <w:numId w:val="4"/>
        </w:numPr>
      </w:pPr>
      <w:r>
        <w:rPr>
          <w:rFonts w:hint="eastAsia"/>
        </w:rPr>
        <w:t>《黄山市休宁县突发环境事件应急预案》（休政办秘〔202</w:t>
      </w:r>
      <w:r>
        <w:t>3</w:t>
      </w:r>
      <w:r>
        <w:rPr>
          <w:rFonts w:hint="eastAsia"/>
        </w:rPr>
        <w:t>〕</w:t>
      </w:r>
      <w:r>
        <w:t>9</w:t>
      </w:r>
      <w:r>
        <w:rPr>
          <w:rFonts w:hint="eastAsia"/>
        </w:rPr>
        <w:t>号）；</w:t>
      </w:r>
    </w:p>
    <w:p>
      <w:pPr>
        <w:pStyle w:val="40"/>
        <w:numPr>
          <w:ilvl w:val="0"/>
          <w:numId w:val="4"/>
        </w:numPr>
      </w:pPr>
      <w:r>
        <w:rPr>
          <w:rFonts w:hint="eastAsia"/>
        </w:rPr>
        <w:t>《地表水环境质量标准》（GB3838</w:t>
      </w:r>
      <w:r>
        <w:t>-2002</w:t>
      </w:r>
      <w:r>
        <w:rPr>
          <w:rFonts w:hint="eastAsia"/>
        </w:rPr>
        <w:t>）；</w:t>
      </w:r>
    </w:p>
    <w:p>
      <w:pPr>
        <w:pStyle w:val="40"/>
        <w:numPr>
          <w:ilvl w:val="0"/>
          <w:numId w:val="4"/>
        </w:numPr>
      </w:pPr>
      <w:r>
        <w:rPr>
          <w:rFonts w:hint="eastAsia"/>
        </w:rPr>
        <w:t>《突发环境事件应急监测技术规范》（HJ 589-2021）；</w:t>
      </w:r>
    </w:p>
    <w:p>
      <w:pPr>
        <w:pStyle w:val="40"/>
        <w:numPr>
          <w:ilvl w:val="0"/>
          <w:numId w:val="4"/>
        </w:numPr>
      </w:pPr>
      <w:r>
        <w:rPr>
          <w:rFonts w:hint="eastAsia"/>
        </w:rPr>
        <w:t>《集中式饮用水水源地规范化建设环境保护技术要求》（HJ773</w:t>
      </w:r>
      <w:r>
        <w:t>-2015</w:t>
      </w:r>
      <w:r>
        <w:rPr>
          <w:rFonts w:hint="eastAsia"/>
        </w:rPr>
        <w:t>）；</w:t>
      </w:r>
    </w:p>
    <w:p>
      <w:pPr>
        <w:pStyle w:val="40"/>
        <w:numPr>
          <w:ilvl w:val="0"/>
          <w:numId w:val="4"/>
        </w:numPr>
      </w:pPr>
      <w:r>
        <w:rPr>
          <w:rFonts w:hint="eastAsia"/>
        </w:rPr>
        <w:t>《集中式饮用水水源地环境保护状况评估技术规范》（HJ774</w:t>
      </w:r>
      <w:r>
        <w:t>-2015</w:t>
      </w:r>
      <w:r>
        <w:rPr>
          <w:rFonts w:hint="eastAsia"/>
        </w:rPr>
        <w:t>）；</w:t>
      </w:r>
    </w:p>
    <w:p>
      <w:pPr>
        <w:pStyle w:val="40"/>
        <w:numPr>
          <w:ilvl w:val="0"/>
          <w:numId w:val="4"/>
        </w:numPr>
      </w:pPr>
      <w:r>
        <w:rPr>
          <w:rFonts w:hint="eastAsia"/>
        </w:rPr>
        <w:t>《企业突发环境事件风险分级方法》（HJ941</w:t>
      </w:r>
      <w:r>
        <w:t>-2018</w:t>
      </w:r>
      <w:r>
        <w:rPr>
          <w:rFonts w:hint="eastAsia"/>
        </w:rPr>
        <w:t>）；</w:t>
      </w:r>
    </w:p>
    <w:p>
      <w:pPr>
        <w:pStyle w:val="40"/>
        <w:numPr>
          <w:ilvl w:val="0"/>
          <w:numId w:val="4"/>
        </w:numPr>
      </w:pPr>
      <w:r>
        <w:rPr>
          <w:rFonts w:hint="eastAsia"/>
        </w:rPr>
        <w:t>《集中式地表水饮用水水源地环境应急管理工作指南》（环办〔201</w:t>
      </w:r>
      <w:r>
        <w:t>1</w:t>
      </w:r>
      <w:r>
        <w:rPr>
          <w:rFonts w:hint="eastAsia"/>
        </w:rPr>
        <w:t>〕</w:t>
      </w:r>
      <w:r>
        <w:t>9</w:t>
      </w:r>
      <w:r>
        <w:rPr>
          <w:rFonts w:hint="eastAsia"/>
        </w:rPr>
        <w:t>3号）；</w:t>
      </w:r>
    </w:p>
    <w:p>
      <w:pPr>
        <w:pStyle w:val="40"/>
        <w:numPr>
          <w:ilvl w:val="0"/>
          <w:numId w:val="4"/>
        </w:numPr>
      </w:pPr>
      <w:r>
        <w:rPr>
          <w:rFonts w:hint="eastAsia"/>
        </w:rPr>
        <w:t>《集中式饮用水水源环境保护指南（试行）》（环办〔2012〕50号）；</w:t>
      </w:r>
    </w:p>
    <w:p>
      <w:pPr>
        <w:pStyle w:val="40"/>
        <w:numPr>
          <w:ilvl w:val="0"/>
          <w:numId w:val="4"/>
        </w:numPr>
      </w:pPr>
      <w:r>
        <w:rPr>
          <w:rFonts w:hint="eastAsia"/>
        </w:rPr>
        <w:t>《企业突发环境事件风险评估指南（试行）》（环办〔2014〕34号）；</w:t>
      </w:r>
    </w:p>
    <w:p>
      <w:pPr>
        <w:pStyle w:val="40"/>
        <w:numPr>
          <w:ilvl w:val="0"/>
          <w:numId w:val="4"/>
        </w:numPr>
      </w:pPr>
      <w:r>
        <w:rPr>
          <w:rFonts w:hint="eastAsia"/>
        </w:rPr>
        <w:t>《企业事业单位突发环境事件应急预案备案管理办法（试行）》（环发〔2015〕4号）；</w:t>
      </w:r>
    </w:p>
    <w:p>
      <w:pPr>
        <w:pStyle w:val="40"/>
        <w:numPr>
          <w:ilvl w:val="0"/>
          <w:numId w:val="4"/>
        </w:numPr>
      </w:pPr>
      <w:r>
        <w:rPr>
          <w:rFonts w:hint="eastAsia"/>
        </w:rPr>
        <w:t>《集中式地表水饮用水水源地突发环境事件应急预案编制指南（试行）》（生态环境部公告2018年第01号）。</w:t>
      </w:r>
    </w:p>
    <w:p>
      <w:pPr>
        <w:pStyle w:val="37"/>
      </w:pPr>
      <w:bookmarkStart w:id="4" w:name="_Toc153869648"/>
      <w:r>
        <w:rPr>
          <w:rFonts w:hint="eastAsia"/>
        </w:rPr>
        <w:t>1.3适用范围</w:t>
      </w:r>
      <w:bookmarkEnd w:id="4"/>
    </w:p>
    <w:p>
      <w:pPr>
        <w:ind w:firstLine="560"/>
      </w:pPr>
      <w:r>
        <w:rPr>
          <w:rFonts w:hint="eastAsia"/>
        </w:rPr>
        <w:t>1、地域范围</w:t>
      </w:r>
    </w:p>
    <w:p>
      <w:pPr>
        <w:ind w:firstLine="560"/>
      </w:pPr>
      <w:bookmarkStart w:id="5" w:name="_Hlk152170372"/>
      <w:r>
        <w:rPr>
          <w:rFonts w:hint="eastAsia"/>
        </w:rPr>
        <w:t>本预案主要适用于黄山市休宁县县域范围内的</w:t>
      </w:r>
      <w:r>
        <w:t>9</w:t>
      </w:r>
      <w:r>
        <w:rPr>
          <w:rFonts w:hint="eastAsia"/>
        </w:rPr>
        <w:t>个集中式饮用水水源地突发环境事件的应对工作，</w:t>
      </w:r>
      <w:bookmarkEnd w:id="5"/>
      <w:r>
        <w:rPr>
          <w:rFonts w:hint="eastAsia"/>
        </w:rPr>
        <w:t>应急预案适用的地域范围为各水源地保护区内一级陆域和水域保护区范围、二级陆域和水域保护区范围、准保护区陆域和水域保护区范围、水源保护区上游连接水体及周边汇水区域上溯24小时流程范围内的水域和分水岭内的陆域，最大不超过汇水区域的范围。</w:t>
      </w:r>
    </w:p>
    <w:p>
      <w:pPr>
        <w:ind w:firstLine="560"/>
      </w:pPr>
      <w:r>
        <w:rPr>
          <w:rFonts w:hint="eastAsia"/>
        </w:rPr>
        <w:t>水源地包括黄山市屯溪区一水厂饮用水水源地保护区、黄山市中心城区二水厂饮用水水源地保护区和黄山市月潭水库饮用水水源地保护区这3个市级饮用水水源地；休宁县一水厂饮用水水源地保护区、休宁县二水厂饮用水水源地保护区这</w:t>
      </w:r>
      <w:r>
        <w:t>2</w:t>
      </w:r>
      <w:r>
        <w:rPr>
          <w:rFonts w:hint="eastAsia"/>
        </w:rPr>
        <w:t>个县级饮用水水源地；东临溪镇饮用水水源地保护区、榆村乡饮用水水源地、溪口镇饮用水水源地、五城镇饮用水水源地。具体见附件</w:t>
      </w:r>
      <w:r>
        <w:t>8</w:t>
      </w:r>
      <w:r>
        <w:rPr>
          <w:rFonts w:hint="eastAsia"/>
        </w:rPr>
        <w:t>。</w:t>
      </w:r>
    </w:p>
    <w:p>
      <w:pPr>
        <w:ind w:firstLine="560"/>
      </w:pPr>
      <w:r>
        <w:t>2</w:t>
      </w:r>
      <w:r>
        <w:rPr>
          <w:rFonts w:hint="eastAsia"/>
        </w:rPr>
        <w:t>、突发环境事件适用范围</w:t>
      </w:r>
    </w:p>
    <w:p>
      <w:pPr>
        <w:ind w:firstLine="560"/>
      </w:pPr>
      <w:r>
        <w:rPr>
          <w:rFonts w:hint="eastAsia"/>
        </w:rPr>
        <w:t>本预案适用范围为休宁县集中式饮用水水源地保护区以及水源地汇水范围内突然发生或者可能造成重大水污染事件、严重影响城镇居民饮用水安全和对本地区社会稳定、政治安定构成重大威胁、有重大社会影响的突发环境事件的预警、处置、善后等工作。除放射性事故外，均适用本预案的规定，具体包括：</w:t>
      </w:r>
    </w:p>
    <w:p>
      <w:pPr>
        <w:ind w:firstLine="560"/>
      </w:pPr>
      <w:r>
        <w:rPr>
          <w:rFonts w:hint="eastAsia"/>
        </w:rPr>
        <w:t>（1）由于休宁县辖区内饮用水源保护区周边的工业企业环境事故、安全事故、交通事故、公共设施和设备事故使得化学品、有毒有害等污染物质进入休宁县辖区内饮用水源保护区造成水污染事件；</w:t>
      </w:r>
    </w:p>
    <w:p>
      <w:pPr>
        <w:ind w:firstLine="560"/>
      </w:pPr>
      <w:r>
        <w:rPr>
          <w:rFonts w:hint="eastAsia"/>
        </w:rPr>
        <w:t>（2）由于暴雨、洪水等自然灾害的发生使得污染物进入休宁县辖区内饮用水源保护区造成的水污染事件；</w:t>
      </w:r>
    </w:p>
    <w:p>
      <w:pPr>
        <w:ind w:firstLine="560"/>
      </w:pPr>
      <w:r>
        <w:rPr>
          <w:rFonts w:hint="eastAsia"/>
        </w:rPr>
        <w:t>（3）由于休宁县辖区内饮用水水源保护区水质不符合《地表水环境质量标准》（GB3838-2002）相应的标准引起水质下降的环境事件；</w:t>
      </w:r>
    </w:p>
    <w:p>
      <w:pPr>
        <w:ind w:firstLine="560"/>
      </w:pPr>
      <w:r>
        <w:rPr>
          <w:rFonts w:hint="eastAsia"/>
        </w:rPr>
        <w:t>（4）由于枯水期易出现水质、水量不均等水文特征，可能会发生流域水污染事故，即对休宁县辖区内饮用水水质会产生一定的影响；</w:t>
      </w:r>
    </w:p>
    <w:p>
      <w:pPr>
        <w:ind w:firstLine="560"/>
      </w:pPr>
      <w:r>
        <w:rPr>
          <w:rFonts w:hint="eastAsia"/>
        </w:rPr>
        <w:t>（5）其他意外事件造成休宁县辖区内饮用水水源保护区的水污染事故。</w:t>
      </w:r>
    </w:p>
    <w:p>
      <w:pPr>
        <w:pStyle w:val="37"/>
      </w:pPr>
      <w:bookmarkStart w:id="6" w:name="_Toc153869649"/>
      <w:r>
        <w:rPr>
          <w:rFonts w:hint="eastAsia"/>
        </w:rPr>
        <w:t>1</w:t>
      </w:r>
      <w:r>
        <w:t>.4</w:t>
      </w:r>
      <w:r>
        <w:rPr>
          <w:rFonts w:hint="eastAsia"/>
        </w:rPr>
        <w:t>事件分级</w:t>
      </w:r>
      <w:bookmarkEnd w:id="6"/>
    </w:p>
    <w:p>
      <w:pPr>
        <w:ind w:firstLine="560"/>
      </w:pPr>
      <w:r>
        <w:rPr>
          <w:rFonts w:hint="eastAsia"/>
        </w:rPr>
        <w:t>根据饮用水水源地突发环境事件的严重性和紧急程度，结合实际，</w:t>
      </w:r>
      <w:bookmarkStart w:id="7" w:name="_Hlk152170435"/>
      <w:r>
        <w:rPr>
          <w:rFonts w:hint="eastAsia"/>
        </w:rPr>
        <w:t>将休宁县集中式饮用水水源地突发环境事件分为特别重大（Ⅰ级）、重大（Ⅱ级）、较大（III级）和一般（Ⅳ级）。</w:t>
      </w:r>
    </w:p>
    <w:bookmarkEnd w:id="7"/>
    <w:p>
      <w:pPr>
        <w:ind w:firstLine="562"/>
        <w:rPr>
          <w:b/>
          <w:bCs/>
        </w:rPr>
      </w:pPr>
      <w:r>
        <w:rPr>
          <w:rFonts w:hint="eastAsia"/>
          <w:b/>
          <w:bCs/>
        </w:rPr>
        <w:t>1、特别重大事件（Ⅰ级红色预警）</w:t>
      </w:r>
    </w:p>
    <w:p>
      <w:pPr>
        <w:ind w:firstLine="560"/>
      </w:pPr>
      <w:r>
        <w:rPr>
          <w:rFonts w:hint="eastAsia"/>
        </w:rPr>
        <w:t>凡符合下列情形之一的，为特别重大突发环境事件：</w:t>
      </w:r>
    </w:p>
    <w:p>
      <w:pPr>
        <w:ind w:firstLine="560"/>
      </w:pPr>
      <w:r>
        <w:rPr>
          <w:rFonts w:hint="eastAsia"/>
        </w:rPr>
        <w:t>（1）因饮用水水源地突发环境事件直接导致30人以上死亡，或100人以上中毒的；</w:t>
      </w:r>
    </w:p>
    <w:p>
      <w:pPr>
        <w:ind w:firstLine="560"/>
      </w:pPr>
      <w:r>
        <w:rPr>
          <w:rFonts w:hint="eastAsia"/>
        </w:rPr>
        <w:t>（2）因饮用水水源地突发环境事件需疏散、转移群众5万人以上的；</w:t>
      </w:r>
    </w:p>
    <w:p>
      <w:pPr>
        <w:ind w:firstLine="560"/>
      </w:pPr>
      <w:r>
        <w:rPr>
          <w:rFonts w:hint="eastAsia"/>
        </w:rPr>
        <w:t>（3）因饮用水水源地突发环境事件造成直接经济损失1亿元以上的；</w:t>
      </w:r>
    </w:p>
    <w:p>
      <w:pPr>
        <w:ind w:firstLine="560"/>
      </w:pPr>
      <w:r>
        <w:rPr>
          <w:rFonts w:hint="eastAsia"/>
        </w:rPr>
        <w:t>（4）遭受生物、化学、毒剂、病毒、油污、放射性物质等污染以及特殊水文条件等人为和自然原因造成饮用水源地严重污染，水质严重超标，造成城市供水中断的事件。</w:t>
      </w:r>
    </w:p>
    <w:p>
      <w:pPr>
        <w:ind w:firstLine="562"/>
        <w:rPr>
          <w:b/>
          <w:bCs/>
        </w:rPr>
      </w:pPr>
      <w:r>
        <w:rPr>
          <w:rFonts w:hint="eastAsia"/>
          <w:b/>
          <w:bCs/>
        </w:rPr>
        <w:t>2、重大事件（Ⅱ级橙色预警）</w:t>
      </w:r>
    </w:p>
    <w:p>
      <w:pPr>
        <w:ind w:firstLine="560"/>
      </w:pPr>
      <w:r>
        <w:rPr>
          <w:rFonts w:hint="eastAsia"/>
        </w:rPr>
        <w:t>凡符合下列情形之一的，为重大突发环境事件：</w:t>
      </w:r>
    </w:p>
    <w:p>
      <w:pPr>
        <w:ind w:firstLine="560"/>
      </w:pPr>
      <w:r>
        <w:rPr>
          <w:rFonts w:hint="eastAsia"/>
        </w:rPr>
        <w:t>（1）因饮用水水源地突发环境事件直接导致10人以上、30人以下死亡或50人以上、100人以下中毒的；</w:t>
      </w:r>
    </w:p>
    <w:p>
      <w:pPr>
        <w:ind w:firstLine="560"/>
      </w:pPr>
      <w:r>
        <w:rPr>
          <w:rFonts w:hint="eastAsia"/>
        </w:rPr>
        <w:t>（2）因饮用水水源地突发环境事件需疏散、转移群众1万人以上、5万人以下的；</w:t>
      </w:r>
    </w:p>
    <w:p>
      <w:pPr>
        <w:ind w:firstLine="560"/>
      </w:pPr>
      <w:r>
        <w:rPr>
          <w:rFonts w:hint="eastAsia"/>
        </w:rPr>
        <w:t>（3）因饮用水水源地突发环境事件造成直接经济损失2000万元以上、1亿元以下的；</w:t>
      </w:r>
    </w:p>
    <w:p>
      <w:pPr>
        <w:ind w:firstLine="560"/>
      </w:pPr>
      <w:r>
        <w:rPr>
          <w:rFonts w:hint="eastAsia"/>
        </w:rPr>
        <w:t>（4）遭受生物、化学、毒剂、病毒、油污、放射性物质等污染以及特殊水文条件等人为和自然原因造成饮用水源地污染，水质超标，造成城市局部供水中断的事件。</w:t>
      </w:r>
    </w:p>
    <w:p>
      <w:pPr>
        <w:ind w:firstLine="562"/>
        <w:rPr>
          <w:b/>
          <w:bCs/>
        </w:rPr>
      </w:pPr>
      <w:r>
        <w:rPr>
          <w:rFonts w:hint="eastAsia"/>
          <w:b/>
          <w:bCs/>
        </w:rPr>
        <w:t>3、较大事件（III级黄色预警）</w:t>
      </w:r>
    </w:p>
    <w:p>
      <w:pPr>
        <w:ind w:firstLine="560"/>
      </w:pPr>
      <w:bookmarkStart w:id="8" w:name="_Hlk117546643"/>
      <w:r>
        <w:rPr>
          <w:rFonts w:hint="eastAsia"/>
        </w:rPr>
        <w:t>凡符合下列情形之一的，为较大突发环境事件：</w:t>
      </w:r>
    </w:p>
    <w:bookmarkEnd w:id="8"/>
    <w:p>
      <w:pPr>
        <w:ind w:firstLine="560"/>
      </w:pPr>
      <w:r>
        <w:rPr>
          <w:rFonts w:hint="eastAsia"/>
        </w:rPr>
        <w:t>（1）因饮用水水源地突发环境事件直接导致3人以上、10人以下死亡或10人以上、50人以下中毒的；</w:t>
      </w:r>
    </w:p>
    <w:p>
      <w:pPr>
        <w:ind w:firstLine="560"/>
      </w:pPr>
      <w:r>
        <w:rPr>
          <w:rFonts w:hint="eastAsia"/>
        </w:rPr>
        <w:t>（2）因饮用水水源地突发环境事件需疏散、转移群众5000人以上、1万人以下的；</w:t>
      </w:r>
    </w:p>
    <w:p>
      <w:pPr>
        <w:ind w:firstLine="560"/>
      </w:pPr>
      <w:r>
        <w:rPr>
          <w:rFonts w:hint="eastAsia"/>
        </w:rPr>
        <w:t>（3）因饮用水水源地突发环境事件造成直接经济损失500万元以上、2000万元以下的；</w:t>
      </w:r>
    </w:p>
    <w:p>
      <w:pPr>
        <w:ind w:firstLine="560"/>
      </w:pPr>
      <w:r>
        <w:rPr>
          <w:rFonts w:hint="eastAsia"/>
        </w:rPr>
        <w:t>（4）遭受生物、化学、毒剂、病毒、油污、放射性物质等污染以及特殊水文条件等人为和自然原因对水源地水质造成影响，部分水质参数超标，影响饮用水源地正常供水或造成乡镇集中式饮用水水源地供水中断的事件；</w:t>
      </w:r>
    </w:p>
    <w:p>
      <w:pPr>
        <w:ind w:firstLine="560"/>
      </w:pPr>
      <w:r>
        <w:rPr>
          <w:rFonts w:hint="eastAsia"/>
        </w:rPr>
        <w:t>（5）造成跨设区的市级行政区域饮用水源污染的突发环境事件。</w:t>
      </w:r>
    </w:p>
    <w:p>
      <w:pPr>
        <w:ind w:firstLine="562"/>
        <w:rPr>
          <w:b/>
          <w:bCs/>
        </w:rPr>
      </w:pPr>
      <w:r>
        <w:rPr>
          <w:rFonts w:hint="eastAsia"/>
          <w:b/>
          <w:bCs/>
        </w:rPr>
        <w:t>4、一般事件（Ⅳ级蓝色预警）</w:t>
      </w:r>
    </w:p>
    <w:p>
      <w:pPr>
        <w:ind w:firstLine="560"/>
      </w:pPr>
      <w:r>
        <w:rPr>
          <w:rFonts w:hint="eastAsia"/>
        </w:rPr>
        <w:t>凡符合下列情形之一的，为较大突发环境事件：</w:t>
      </w:r>
    </w:p>
    <w:p>
      <w:pPr>
        <w:ind w:firstLine="560"/>
      </w:pPr>
      <w:r>
        <w:rPr>
          <w:rFonts w:hint="eastAsia"/>
        </w:rPr>
        <w:t>（1）因饮用水水源地突发环境事件直接导致3人以下死亡或10人以下中毒的；</w:t>
      </w:r>
    </w:p>
    <w:p>
      <w:pPr>
        <w:ind w:firstLine="560"/>
      </w:pPr>
      <w:r>
        <w:rPr>
          <w:rFonts w:hint="eastAsia"/>
        </w:rPr>
        <w:t>（2）因饮用水水源地突发环境事件疏散、转移人员5000人以下的；</w:t>
      </w:r>
    </w:p>
    <w:p>
      <w:pPr>
        <w:ind w:firstLine="560"/>
      </w:pPr>
      <w:r>
        <w:rPr>
          <w:rFonts w:hint="eastAsia"/>
        </w:rPr>
        <w:t>（3）因饮用水水源地突发环境事件造成直接经济损失500万元以下的；</w:t>
      </w:r>
    </w:p>
    <w:p>
      <w:pPr>
        <w:ind w:firstLine="560"/>
      </w:pPr>
      <w:r>
        <w:rPr>
          <w:rFonts w:hint="eastAsia"/>
        </w:rPr>
        <w:t>（4）因饮用水水源地突发环境事件造成跨县级行政区域纠纷，引起一般性群体影响的；</w:t>
      </w:r>
    </w:p>
    <w:p>
      <w:pPr>
        <w:ind w:firstLine="560"/>
      </w:pPr>
      <w:r>
        <w:rPr>
          <w:rFonts w:hint="eastAsia"/>
        </w:rPr>
        <w:t>（5）遭受生物、化学、毒剂、病毒、油污、放射性物质等污染以及特殊水文条件等人为和自然原因对水源地水质造成一定影响，部分水质参数异常，但不影响饮用水源地正常供水的事件。</w:t>
      </w:r>
    </w:p>
    <w:p>
      <w:pPr>
        <w:ind w:firstLine="560"/>
      </w:pPr>
      <w:r>
        <w:rPr>
          <w:rFonts w:hint="eastAsia"/>
        </w:rPr>
        <w:t>上述分级标准有关数量表述中“以上”含本数，“以下”不含本数。</w:t>
      </w:r>
    </w:p>
    <w:p>
      <w:pPr>
        <w:pStyle w:val="37"/>
      </w:pPr>
      <w:bookmarkStart w:id="9" w:name="_Toc153869650"/>
      <w:r>
        <w:rPr>
          <w:rFonts w:hint="eastAsia"/>
        </w:rPr>
        <w:t>1.</w:t>
      </w:r>
      <w:r>
        <w:t>5</w:t>
      </w:r>
      <w:r>
        <w:rPr>
          <w:rFonts w:hint="eastAsia"/>
        </w:rPr>
        <w:t>预案衔接</w:t>
      </w:r>
      <w:bookmarkEnd w:id="9"/>
    </w:p>
    <w:p>
      <w:pPr>
        <w:ind w:firstLine="560"/>
      </w:pPr>
      <w:r>
        <w:rPr>
          <w:rFonts w:hint="eastAsia"/>
        </w:rPr>
        <w:t>本预案是休宁县突发环境事件应急预案中有关水源地突发环境事件专项应急预案，作为休宁县突发环境应急预案体系中的重要组成部分，指导休宁县饮用水源地突发环境事件的应对工作，执行主体为休宁县人民政府。</w:t>
      </w:r>
    </w:p>
    <w:p>
      <w:pPr>
        <w:ind w:firstLine="560"/>
      </w:pPr>
      <w:r>
        <w:rPr>
          <w:rFonts w:hint="eastAsia"/>
        </w:rPr>
        <w:t>本预案在《黄山市突发事件总体应急预案》《黄山市饮用水水源地突发环境事件应急预案》《休宁县突发事件总体应急预案》《休宁县突发环境事件应急预案》的指导下，与市、县级预案以及其他预案中的有关要求相互衔接，与相关部门在组织指挥体系、适用的地域范围、预警分级、信息报告、应急保障等方面进行了相互衔接，同时本预案与休宁县各集中式饮用水水源地突发环境事件应急预案进行相关内容的衔接。在职责方面，从突发环境事件预警、上报，到现场调查、应急监测，最后应急响应终止等，各部门、各小组分工明细，协同合作，共同应对突发环境事件。</w:t>
      </w:r>
    </w:p>
    <w:p>
      <w:pPr>
        <w:ind w:firstLine="560"/>
      </w:pPr>
      <w:r>
        <w:rPr>
          <w:rFonts w:hint="eastAsia"/>
        </w:rPr>
        <w:t>当发生县级行政区域内的污染物迁移到水源地应急预案适用的地域范围或发生跨行政区域水源地突发环境事件时，应及时上报黄山市人民政府和黄山市集中式饮用水水源地突发环境事件应急指挥部，在市级人民政府和市指挥部的领导、组织、协调下，积极开展突发事件的应对工作。</w:t>
      </w:r>
    </w:p>
    <w:p>
      <w:pPr>
        <w:pStyle w:val="37"/>
      </w:pPr>
      <w:bookmarkStart w:id="10" w:name="_Toc153869651"/>
      <w:r>
        <w:rPr>
          <w:rFonts w:hint="eastAsia"/>
        </w:rPr>
        <w:t>1.</w:t>
      </w:r>
      <w:r>
        <w:t>6</w:t>
      </w:r>
      <w:r>
        <w:rPr>
          <w:rFonts w:hint="eastAsia"/>
        </w:rPr>
        <w:t>工作原则</w:t>
      </w:r>
      <w:bookmarkEnd w:id="10"/>
    </w:p>
    <w:p>
      <w:pPr>
        <w:ind w:firstLine="560"/>
      </w:pPr>
      <w:r>
        <w:rPr>
          <w:rFonts w:hint="eastAsia"/>
        </w:rPr>
        <w:t>1、以人为本，预防为主。把保障人民群众生命财产及环境安全作为首要任务，最大限度地减少突发环境事件造成的危害；建立环境事件风险防范体系，加强对危险源和潜在危险源的监测、监控、预警，提高环境事件防范和处理能力。</w:t>
      </w:r>
    </w:p>
    <w:p>
      <w:pPr>
        <w:ind w:firstLine="560"/>
      </w:pPr>
      <w:r>
        <w:rPr>
          <w:rFonts w:hint="eastAsia"/>
        </w:rPr>
        <w:t>2、统一领导，分级管理。建立政府统一领导、部门分工协作、企业主要落实、公众有序参与的环境应急管理体制；根据突发环境事件的范围、性质和危害程度，对应急处置工作实行分级管理。</w:t>
      </w:r>
    </w:p>
    <w:p>
      <w:pPr>
        <w:ind w:firstLine="560"/>
      </w:pPr>
      <w:r>
        <w:rPr>
          <w:rFonts w:hint="eastAsia"/>
        </w:rPr>
        <w:t>3、部门联动，相互增援。完善部门联动机制，充分发挥部门专业优势和专业应急救援力量作用，引导、鼓励实现“一专多能”，共同应对突发环境事件；建立社会应急动员机制，充实救援队伍，提高公众自救、互救能力。</w:t>
      </w:r>
    </w:p>
    <w:p>
      <w:pPr>
        <w:ind w:firstLine="560"/>
      </w:pPr>
      <w:r>
        <w:rPr>
          <w:rFonts w:hint="eastAsia"/>
        </w:rPr>
        <w:t>4、平战结合，快速反应。加强环境应急管理人员和应急处置队伍培训，积极开展突发环境事件应急预案演练，掌握处置突发环境事件技能，全面提高快速反应能力。</w:t>
      </w:r>
    </w:p>
    <w:p>
      <w:pPr>
        <w:ind w:firstLine="560"/>
      </w:pPr>
      <w:r>
        <w:rPr>
          <w:rFonts w:hint="eastAsia"/>
        </w:rPr>
        <w:t>5、依靠科学，依法规范。采用先进技术，充分发挥专家作用，重视开展预防和处置突发环境事件的科研和培训，突发环境事件应急处置提供科技保障。采用先进的应急装备和技术，增强应急反应能力，依法规范应急反应工作，确保应急预案的科学性、权威性和可操作性。</w:t>
      </w:r>
    </w:p>
    <w:p>
      <w:pPr>
        <w:widowControl/>
        <w:spacing w:line="240" w:lineRule="auto"/>
        <w:ind w:firstLine="0" w:firstLineChars="0"/>
        <w:jc w:val="left"/>
      </w:pPr>
      <w:r>
        <w:br w:type="page"/>
      </w:r>
    </w:p>
    <w:p>
      <w:pPr>
        <w:pStyle w:val="2"/>
      </w:pPr>
      <w:bookmarkStart w:id="11" w:name="_Toc153869652"/>
      <w:r>
        <w:rPr>
          <w:rFonts w:hint="eastAsia"/>
        </w:rPr>
        <w:t>2</w:t>
      </w:r>
      <w:bookmarkStart w:id="12" w:name="_Hlk152170468"/>
      <w:r>
        <w:rPr>
          <w:rFonts w:hint="eastAsia"/>
        </w:rPr>
        <w:t>应急组织指挥体系</w:t>
      </w:r>
      <w:bookmarkEnd w:id="11"/>
      <w:bookmarkEnd w:id="12"/>
    </w:p>
    <w:p>
      <w:pPr>
        <w:ind w:firstLine="560"/>
      </w:pPr>
      <w:bookmarkStart w:id="13" w:name="_Hlk152170190"/>
      <w:r>
        <w:rPr>
          <w:rFonts w:hint="eastAsia"/>
        </w:rPr>
        <w:t>由休宁县人民政府组织成立的休宁县集中式饮用水水源地突发环境事件应急组织指挥机构作为黄山市饮用水水源地突发环境事件应急组织指挥体系的组成部分，是其在县级的应急指挥机构，在指挥体系上受黄山市饮用水水源地突发环境事件应急组织指挥部的领导。</w:t>
      </w:r>
    </w:p>
    <w:p>
      <w:pPr>
        <w:ind w:firstLine="560"/>
      </w:pPr>
      <w:r>
        <w:rPr>
          <w:rFonts w:hint="eastAsia"/>
        </w:rPr>
        <w:t>当发生水源地突发环境事件时，在市指挥部的指导下，组织和指挥水源地突发环境事件的预防、预警、应急处置及善后工作。</w:t>
      </w:r>
    </w:p>
    <w:bookmarkEnd w:id="13"/>
    <w:p>
      <w:pPr>
        <w:pStyle w:val="37"/>
      </w:pPr>
      <w:bookmarkStart w:id="14" w:name="_Toc153869653"/>
      <w:r>
        <w:rPr>
          <w:rFonts w:hint="eastAsia"/>
        </w:rPr>
        <w:t>2.1应急组织指挥机构</w:t>
      </w:r>
      <w:bookmarkEnd w:id="14"/>
    </w:p>
    <w:p>
      <w:pPr>
        <w:pStyle w:val="38"/>
        <w:spacing w:before="120" w:after="120"/>
        <w:ind w:firstLine="562"/>
      </w:pPr>
      <w:r>
        <w:rPr>
          <w:rFonts w:hint="eastAsia"/>
        </w:rPr>
        <w:t>2.1.1组织体系</w:t>
      </w:r>
    </w:p>
    <w:p>
      <w:pPr>
        <w:ind w:firstLine="560"/>
      </w:pPr>
      <w:bookmarkStart w:id="15" w:name="_Hlk152170324"/>
      <w:bookmarkStart w:id="16" w:name="_Hlk152170240"/>
      <w:r>
        <w:rPr>
          <w:rFonts w:hint="eastAsia"/>
        </w:rPr>
        <w:t>休宁县集中式饮用水水源地突发环境事件应急指挥部</w:t>
      </w:r>
      <w:bookmarkEnd w:id="15"/>
      <w:r>
        <w:rPr>
          <w:rFonts w:hint="eastAsia"/>
        </w:rPr>
        <w:t>（以下简称“县水源地应急指挥部”），</w:t>
      </w:r>
      <w:bookmarkStart w:id="17" w:name="_Hlk152170623"/>
      <w:r>
        <w:rPr>
          <w:rFonts w:hint="eastAsia"/>
        </w:rPr>
        <w:t>由休宁县人民政府</w:t>
      </w:r>
      <w:bookmarkEnd w:id="17"/>
      <w:r>
        <w:rPr>
          <w:rFonts w:hint="eastAsia"/>
        </w:rPr>
        <w:t>统一指挥负责领导、组织和协调全县涉及饮用水水源地突发环境事件应急工作。</w:t>
      </w:r>
    </w:p>
    <w:bookmarkEnd w:id="16"/>
    <w:p>
      <w:pPr>
        <w:ind w:firstLine="560"/>
      </w:pPr>
      <w:r>
        <w:rPr>
          <w:rFonts w:hint="eastAsia"/>
        </w:rPr>
        <w:t>县水源地应急组织指挥部：由县分管生态环境副县长任总指挥，县生态环境分局长和县应急管理局局长担任副总指挥。应急指挥部成员包括县生态环境分局、县应急局、县住建局、县卫健委、县交通运输局、县农业农村水利局、县民政局、县财政局、县公安局、县消防大队、县人武部、县气象局、县自然资源和规划局、县科商经局、休宁经开区管委会、县委宣传部、县供水有限责任公司、黄山水务控股集团有限公司、驻休宁通信相关公司、县供电公司和各乡镇人民政府，下设协调办公室和专项工作组。</w:t>
      </w:r>
    </w:p>
    <w:p>
      <w:pPr>
        <w:ind w:firstLine="560"/>
      </w:pPr>
      <w:r>
        <w:rPr>
          <w:rFonts w:hint="eastAsia"/>
        </w:rPr>
        <w:t>协调办公室为常设机构，设于休宁县生态环境分局，日常协助总指挥、副总指挥开展水源地突发环境事件应急管理体系建设；应急期间，协调组织有关部门落实总指挥、副总指挥的指令和要求。</w:t>
      </w:r>
    </w:p>
    <w:p>
      <w:pPr>
        <w:ind w:firstLine="0" w:firstLineChars="0"/>
        <w:jc w:val="center"/>
      </w:pPr>
      <w:r>
        <w:drawing>
          <wp:inline distT="0" distB="0" distL="0" distR="0">
            <wp:extent cx="5274310" cy="3780790"/>
            <wp:effectExtent l="0" t="0" r="2540" b="0"/>
            <wp:docPr id="1884338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3837"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3780790"/>
                    </a:xfrm>
                    <a:prstGeom prst="rect">
                      <a:avLst/>
                    </a:prstGeom>
                    <a:noFill/>
                    <a:ln>
                      <a:noFill/>
                    </a:ln>
                  </pic:spPr>
                </pic:pic>
              </a:graphicData>
            </a:graphic>
          </wp:inline>
        </w:drawing>
      </w:r>
    </w:p>
    <w:p>
      <w:pPr>
        <w:ind w:firstLine="560"/>
        <w:jc w:val="center"/>
      </w:pPr>
      <w:r>
        <w:rPr>
          <w:rFonts w:hint="eastAsia"/>
        </w:rPr>
        <w:t>图</w:t>
      </w:r>
      <w:r>
        <w:t>2.1-1</w:t>
      </w:r>
      <w:r>
        <w:rPr>
          <w:rFonts w:hint="eastAsia"/>
        </w:rPr>
        <w:t>应急组织机构图</w:t>
      </w:r>
    </w:p>
    <w:p>
      <w:pPr>
        <w:pStyle w:val="38"/>
        <w:spacing w:before="120" w:after="120"/>
        <w:ind w:firstLine="562"/>
      </w:pPr>
      <w:r>
        <w:rPr>
          <w:rFonts w:hint="eastAsia"/>
        </w:rPr>
        <w:t>2.1.2指挥机构的职责</w:t>
      </w:r>
    </w:p>
    <w:p>
      <w:pPr>
        <w:ind w:firstLine="560"/>
      </w:pPr>
      <w:r>
        <w:rPr>
          <w:rFonts w:hint="eastAsia"/>
        </w:rPr>
        <w:t>1、贯彻执行国家、当地政府、上级有关部门关于环境安全的方针、政策及规定；</w:t>
      </w:r>
    </w:p>
    <w:p>
      <w:pPr>
        <w:ind w:firstLine="560"/>
      </w:pPr>
      <w:r>
        <w:t>2</w:t>
      </w:r>
      <w:r>
        <w:rPr>
          <w:rFonts w:hint="eastAsia"/>
        </w:rPr>
        <w:t>、组建突发环境事件应急救援队伍，负责应急队伍的调动和资源配置；</w:t>
      </w:r>
    </w:p>
    <w:p>
      <w:pPr>
        <w:ind w:firstLine="560"/>
      </w:pPr>
      <w:r>
        <w:rPr>
          <w:rFonts w:hint="eastAsia"/>
        </w:rPr>
        <w:t>3、负责应急设施设备的建设以及应急救援物资的储备；</w:t>
      </w:r>
    </w:p>
    <w:p>
      <w:pPr>
        <w:ind w:firstLine="560"/>
      </w:pPr>
      <w:r>
        <w:rPr>
          <w:rFonts w:hint="eastAsia"/>
        </w:rPr>
        <w:t>4、检查、督促做好突发环境事件的预防措施和应急救援的各项准备工作；</w:t>
      </w:r>
    </w:p>
    <w:p>
      <w:pPr>
        <w:ind w:firstLine="560"/>
      </w:pPr>
      <w:r>
        <w:rPr>
          <w:rFonts w:hint="eastAsia"/>
        </w:rPr>
        <w:t>5、负责应急预案的管理、宣贯工作，定期组织应急预案培训、应急演练；</w:t>
      </w:r>
    </w:p>
    <w:p>
      <w:pPr>
        <w:ind w:firstLine="560"/>
      </w:pPr>
      <w:r>
        <w:rPr>
          <w:rFonts w:hint="eastAsia"/>
        </w:rPr>
        <w:t>6、组织突发环境事件应急处置、救援工作；</w:t>
      </w:r>
    </w:p>
    <w:p>
      <w:pPr>
        <w:ind w:firstLine="560"/>
      </w:pPr>
      <w:r>
        <w:rPr>
          <w:rFonts w:hint="eastAsia"/>
        </w:rPr>
        <w:t>7、负责事件信息的收集整理，全面准确地掌握事件状况，提供动态信息，经总指挥同意后及时向上级应急指挥机构和当地各级领导报告事件和应急救援进展情况，负责可能受影响区域的通报工作；负责突发环境事件信息的上报及对外联络工作；</w:t>
      </w:r>
    </w:p>
    <w:p>
      <w:pPr>
        <w:ind w:firstLine="560"/>
      </w:pPr>
      <w:r>
        <w:rPr>
          <w:rFonts w:hint="eastAsia"/>
        </w:rPr>
        <w:t>8、负责筹建并维护突发环境事件应急指挥中心专家咨询系统，建立专家名单及联系方式；在事件发生时组织专家开展应急救援咨询工作；</w:t>
      </w:r>
    </w:p>
    <w:p>
      <w:pPr>
        <w:ind w:firstLine="560"/>
      </w:pPr>
      <w:r>
        <w:t>9</w:t>
      </w:r>
      <w:r>
        <w:rPr>
          <w:rFonts w:hint="eastAsia"/>
        </w:rPr>
        <w:t>、负责请求外部救援力量的决策，接受上级应急救援指挥机构的指令和调动，协助事件的处理；</w:t>
      </w:r>
    </w:p>
    <w:p>
      <w:pPr>
        <w:ind w:firstLine="560"/>
      </w:pPr>
      <w:r>
        <w:rPr>
          <w:rFonts w:hint="eastAsia"/>
        </w:rPr>
        <w:t>1</w:t>
      </w:r>
      <w:r>
        <w:t>0</w:t>
      </w:r>
      <w:r>
        <w:rPr>
          <w:rFonts w:hint="eastAsia"/>
        </w:rPr>
        <w:t>、配合有关部门对事件进行调查、环境进行修复、总结经验教训。</w:t>
      </w:r>
    </w:p>
    <w:p>
      <w:pPr>
        <w:pStyle w:val="38"/>
        <w:spacing w:before="120" w:after="120"/>
        <w:ind w:firstLine="562"/>
      </w:pPr>
      <w:r>
        <w:rPr>
          <w:rFonts w:hint="eastAsia"/>
        </w:rPr>
        <w:t>2.1.3指挥机构组成及各部门职责</w:t>
      </w:r>
    </w:p>
    <w:p>
      <w:pPr>
        <w:ind w:firstLine="560"/>
      </w:pPr>
      <w:bookmarkStart w:id="18" w:name="_Hlk150246013"/>
      <w:r>
        <w:rPr>
          <w:rFonts w:hint="eastAsia"/>
        </w:rPr>
        <w:t>1、总指挥及其职责</w:t>
      </w:r>
    </w:p>
    <w:p>
      <w:pPr>
        <w:ind w:firstLine="560"/>
      </w:pPr>
      <w:r>
        <w:rPr>
          <w:rFonts w:hint="eastAsia"/>
        </w:rPr>
        <w:t>总指挥：由休宁县分管生态环境的县长担任</w:t>
      </w:r>
    </w:p>
    <w:p>
      <w:pPr>
        <w:ind w:firstLine="560"/>
      </w:pPr>
      <w:r>
        <w:rPr>
          <w:rFonts w:hint="eastAsia"/>
        </w:rPr>
        <w:t>职责：（1）贯彻执行国家、地方人民政府及有关部门关于水源地突发环境事件的各项要求；</w:t>
      </w:r>
    </w:p>
    <w:p>
      <w:pPr>
        <w:ind w:firstLine="560"/>
      </w:pPr>
      <w:r>
        <w:rPr>
          <w:rFonts w:hint="eastAsia"/>
        </w:rPr>
        <w:t>（2）组织编制、修订和批准水源地应急预案；</w:t>
      </w:r>
    </w:p>
    <w:p>
      <w:pPr>
        <w:ind w:firstLine="560"/>
      </w:pPr>
      <w:r>
        <w:rPr>
          <w:rFonts w:hint="eastAsia"/>
        </w:rPr>
        <w:t>（3）指导加强水源地突发环境事件应急管理体系建设；</w:t>
      </w:r>
    </w:p>
    <w:p>
      <w:pPr>
        <w:ind w:firstLine="560"/>
      </w:pPr>
      <w:r>
        <w:rPr>
          <w:rFonts w:hint="eastAsia"/>
        </w:rPr>
        <w:t>（4）协调保障水源地突发环境事件应急管理工作经费。</w:t>
      </w:r>
    </w:p>
    <w:p>
      <w:pPr>
        <w:ind w:firstLine="560"/>
      </w:pPr>
      <w:r>
        <w:rPr>
          <w:rFonts w:hint="eastAsia"/>
        </w:rPr>
        <w:t>2、副总指挥及其职责</w:t>
      </w:r>
    </w:p>
    <w:p>
      <w:pPr>
        <w:ind w:firstLine="560"/>
      </w:pPr>
      <w:r>
        <w:rPr>
          <w:rFonts w:hint="eastAsia"/>
        </w:rPr>
        <w:t>副总指挥：由县生态环境分局局长和县应急管理局长同时担任。</w:t>
      </w:r>
    </w:p>
    <w:p>
      <w:pPr>
        <w:ind w:firstLine="560"/>
      </w:pPr>
      <w:r>
        <w:rPr>
          <w:rFonts w:hint="eastAsia"/>
        </w:rPr>
        <w:t>职责：（1）协助总指挥开展有关工作；</w:t>
      </w:r>
    </w:p>
    <w:p>
      <w:pPr>
        <w:ind w:firstLine="560"/>
      </w:pPr>
      <w:r>
        <w:rPr>
          <w:rFonts w:hint="eastAsia"/>
        </w:rPr>
        <w:t>（2）组织指导预案培训和演练、应急救援队伍建设和能力评估等工作；</w:t>
      </w:r>
    </w:p>
    <w:p>
      <w:pPr>
        <w:ind w:firstLine="560"/>
      </w:pPr>
      <w:r>
        <w:rPr>
          <w:rFonts w:hint="eastAsia"/>
        </w:rPr>
        <w:t>（3）指导开展水源地突发环境事件风险防范和应急准备工作。</w:t>
      </w:r>
    </w:p>
    <w:p>
      <w:pPr>
        <w:ind w:firstLine="560"/>
      </w:pPr>
      <w:r>
        <w:t>3</w:t>
      </w:r>
      <w:r>
        <w:rPr>
          <w:rFonts w:hint="eastAsia"/>
        </w:rPr>
        <w:t>、协调办公室及其职责</w:t>
      </w:r>
    </w:p>
    <w:p>
      <w:pPr>
        <w:ind w:firstLine="560"/>
      </w:pPr>
      <w:r>
        <w:rPr>
          <w:rFonts w:hint="eastAsia"/>
        </w:rPr>
        <w:t>协调办公室：由县应急管理局、县生态环境分局、县住建局组成。</w:t>
      </w:r>
    </w:p>
    <w:p>
      <w:pPr>
        <w:ind w:firstLine="560"/>
      </w:pPr>
      <w:r>
        <w:rPr>
          <w:rFonts w:hint="eastAsia"/>
        </w:rPr>
        <w:t>职责：（1）组织编制、修订水源地应急预案；</w:t>
      </w:r>
    </w:p>
    <w:p>
      <w:pPr>
        <w:ind w:firstLine="560"/>
      </w:pPr>
      <w:r>
        <w:rPr>
          <w:rFonts w:hint="eastAsia"/>
        </w:rPr>
        <w:t>（2）负责水源地应急预案的日常管理，开展预案培训和演练、应急救援队伍建设和能力评估等工作；</w:t>
      </w:r>
      <w:r>
        <w:t xml:space="preserve"> </w:t>
      </w:r>
    </w:p>
    <w:p>
      <w:pPr>
        <w:ind w:firstLine="560"/>
      </w:pPr>
      <w:r>
        <w:rPr>
          <w:rFonts w:hint="eastAsia"/>
        </w:rPr>
        <w:t>（3）组织开展水源地突发环境事件风险防范和应急准备工作。</w:t>
      </w:r>
    </w:p>
    <w:p>
      <w:pPr>
        <w:ind w:firstLine="560"/>
      </w:pPr>
      <w:r>
        <w:t>4</w:t>
      </w:r>
      <w:r>
        <w:rPr>
          <w:rFonts w:hint="eastAsia"/>
        </w:rPr>
        <w:t>、专项工作组成员及其主要职责</w:t>
      </w:r>
    </w:p>
    <w:p>
      <w:pPr>
        <w:ind w:firstLine="562"/>
      </w:pPr>
      <w:r>
        <w:rPr>
          <w:rFonts w:hint="eastAsia"/>
          <w:b/>
          <w:bCs/>
        </w:rPr>
        <w:t>（1）县生态环境分局：</w:t>
      </w:r>
      <w:r>
        <w:rPr>
          <w:rFonts w:hint="eastAsia"/>
        </w:rPr>
        <w:t>负责组织饮用水水源地突发环境事件应急处理；协同相关部门分析污染事故原因，确定污染物，提出处理意见，防止污染扩大；对环境污染事件的性质、等级和危害做出恰当的认定；对环境污染事件进行调查取证；负责跟踪污染动态情况，对发布和解除污染警报的时间、区域提出建议；对环境治理、生态修复提出参考意见和整改措施。</w:t>
      </w:r>
    </w:p>
    <w:p>
      <w:pPr>
        <w:ind w:firstLine="562"/>
      </w:pPr>
      <w:r>
        <w:rPr>
          <w:rFonts w:hint="eastAsia"/>
          <w:b/>
          <w:bCs/>
        </w:rPr>
        <w:t>（2）县应急管理局：</w:t>
      </w:r>
      <w:r>
        <w:rPr>
          <w:rFonts w:hint="eastAsia"/>
        </w:rPr>
        <w:t>负责饮用水水源地突发环境事件受灾群众的紧急转移、安置工作；负责和参与由安全生产事故、违法排污等造成的饮用水水源地突发环境事件的调查、应急处置工作；参与涉及危险化学品突发环境事件的应急调查处置工作；协助县生态环境分局进行饮用水水源地突发环境事件调查处理；提供可能产生饮用水水源地环境风险的生产经营单位的信息，</w:t>
      </w:r>
      <w:r>
        <w:rPr>
          <w:rFonts w:hint="eastAsia" w:ascii="仿宋_GB2312"/>
        </w:rPr>
        <w:t>协调县科商经局开展</w:t>
      </w:r>
      <w:r>
        <w:rPr>
          <w:rFonts w:hint="eastAsia"/>
        </w:rPr>
        <w:t>应急救援物资及临时安置等重要物资的紧急生产等工作；负责和协调建立危险化学品的生产、贮存信息数据库。</w:t>
      </w:r>
    </w:p>
    <w:p>
      <w:pPr>
        <w:ind w:firstLine="562"/>
      </w:pPr>
      <w:r>
        <w:rPr>
          <w:rFonts w:hint="eastAsia"/>
          <w:b/>
          <w:bCs/>
        </w:rPr>
        <w:t>（</w:t>
      </w:r>
      <w:r>
        <w:rPr>
          <w:b/>
          <w:bCs/>
        </w:rPr>
        <w:t>3</w:t>
      </w:r>
      <w:r>
        <w:rPr>
          <w:rFonts w:hint="eastAsia"/>
          <w:b/>
          <w:bCs/>
        </w:rPr>
        <w:t>）县住建局：</w:t>
      </w:r>
      <w:r>
        <w:rPr>
          <w:rFonts w:hint="eastAsia"/>
        </w:rPr>
        <w:t>负责饮用水水源地突发环境事件期间的供水水源安全，协调饮用水水源地环境应急事件处置所需的工程机械设备及相关工程技术支持；负责指导供水单位的应急处置工作，组织和协调供水单位进行应急监测，落实停止取水、启动深度处理设施和切换备用水源等应急工作安排；负责与市住建局的联络与信息沟通。</w:t>
      </w:r>
    </w:p>
    <w:p>
      <w:pPr>
        <w:ind w:firstLine="562"/>
      </w:pPr>
      <w:r>
        <w:rPr>
          <w:rFonts w:hint="eastAsia"/>
          <w:b/>
          <w:bCs/>
        </w:rPr>
        <w:t>（</w:t>
      </w:r>
      <w:r>
        <w:rPr>
          <w:b/>
          <w:bCs/>
        </w:rPr>
        <w:t>4</w:t>
      </w:r>
      <w:r>
        <w:rPr>
          <w:rFonts w:hint="eastAsia"/>
          <w:b/>
          <w:bCs/>
        </w:rPr>
        <w:t>）县卫健委：</w:t>
      </w:r>
      <w:r>
        <w:rPr>
          <w:rFonts w:hint="eastAsia" w:ascii="仿宋_GB2312"/>
        </w:rPr>
        <w:t>负责管网末梢水水质应急监测，根据检测情况提出应对措施，确保应急期间居民饮水卫生安全；</w:t>
      </w:r>
      <w:r>
        <w:rPr>
          <w:rFonts w:hint="eastAsia"/>
        </w:rPr>
        <w:t>负责调配医护人员、救护车辆、医疗器材、急救药品等开展医疗应急救援工作；负责开通医疗救治绿色通道，确保事故受伤害人员得到及时救治；负责事故可能危及区域内饮用水源的卫生监督和疾病防治等工作；负责自来水管网末梢水水质卫生日常管理，及时上报并通报管网末梢水水质异常信息，负责与市卫健委的联络和信息沟通。</w:t>
      </w:r>
    </w:p>
    <w:p>
      <w:pPr>
        <w:ind w:firstLine="562"/>
      </w:pPr>
      <w:r>
        <w:rPr>
          <w:rFonts w:hint="eastAsia"/>
          <w:b/>
          <w:bCs/>
        </w:rPr>
        <w:t>（5）县交通运输局：</w:t>
      </w:r>
      <w:r>
        <w:rPr>
          <w:rFonts w:hint="eastAsia"/>
        </w:rPr>
        <w:t>负责为饮用水水源地突发环境事件的应急救援提供交通运输保障，协助处置交通事故次生的水源地突发环境事件，事故发生后及时启用道路桥梁应急工程设施，并负责保障应急物资运输车辆快速通行，以及危险货物的转移工作；参与由危险化学品运输造成的水源地突发环境事件的应急处置；负责指导在饮用水源保护区范围内的危险路段设置公路防撞栏。</w:t>
      </w:r>
    </w:p>
    <w:p>
      <w:pPr>
        <w:ind w:firstLine="562"/>
      </w:pPr>
      <w:r>
        <w:rPr>
          <w:rFonts w:hint="eastAsia"/>
          <w:b/>
          <w:bCs/>
        </w:rPr>
        <w:t>（6）县农业农村水利局：</w:t>
      </w:r>
      <w:r>
        <w:rPr>
          <w:rFonts w:hint="eastAsia"/>
        </w:rPr>
        <w:t>负责和协助处置由农药、化肥、畜禽养殖、动物疫病等造成的饮用水源突发环境事件；负责对具有农灌功能的水源地，在应急期间暂停农灌取水，对农作物等受污染情况及损失进行调查鉴定并提出具体处置措施；负责和协助由藻类暴发等引发的饮用水源突发环境事件的应急处置；负责重要水利工程的调度运行，结合实际情况合理调度所辖水利工程进行污染团拦截、降污或调水稀释等工作；负责对受影响水功能区的水量、水质状况进行动态监测、评价；负责辖区内污染区域相关水源地饮用水的合理调度；负责水文监测并提供相关水利水文资料，参与突发环境事件的调查。</w:t>
      </w:r>
    </w:p>
    <w:p>
      <w:pPr>
        <w:ind w:firstLine="562"/>
      </w:pPr>
      <w:r>
        <w:rPr>
          <w:rFonts w:hint="eastAsia"/>
          <w:b/>
          <w:bCs/>
        </w:rPr>
        <w:t>（7）县民政局：</w:t>
      </w:r>
      <w:r>
        <w:rPr>
          <w:rFonts w:hint="eastAsia"/>
        </w:rPr>
        <w:t>负责对困难群众进行生活救助，组织、协调有关部门和社会团体开展社会捐助工作，接受、分配国内外企业、个人以及外国政府、境外组织捐助的资金和物资，做好款物管理和发放工作，协调做好伤亡人员的处理和其他善后工作。</w:t>
      </w:r>
    </w:p>
    <w:p>
      <w:pPr>
        <w:ind w:firstLine="562"/>
      </w:pPr>
      <w:r>
        <w:rPr>
          <w:rFonts w:hint="eastAsia"/>
          <w:b/>
          <w:bCs/>
        </w:rPr>
        <w:t>（8）县财政局：</w:t>
      </w:r>
      <w:r>
        <w:rPr>
          <w:rFonts w:hint="eastAsia"/>
        </w:rPr>
        <w:t>负责保障饮用水水源地突发环境事件应急管理工作经费及后期损害评估等费用。</w:t>
      </w:r>
    </w:p>
    <w:p>
      <w:pPr>
        <w:ind w:firstLine="562"/>
      </w:pPr>
      <w:r>
        <w:rPr>
          <w:rFonts w:hint="eastAsia"/>
          <w:b/>
          <w:bCs/>
        </w:rPr>
        <w:t>（9）县公安局：</w:t>
      </w:r>
      <w:r>
        <w:rPr>
          <w:rFonts w:hint="eastAsia"/>
        </w:rPr>
        <w:t>参与饮用水水源地突发环境事件抢险救援的组织、指挥和协调，负责饮用水水源地突发环境事件事发现场安全警戒、治安维护和交通管制等工作，保障现场治安秩序稳定和交通畅通；协助当地政府将受威胁人员疏散、转移、撤离至安全区域，对人员撤离区域进行治安管理，并做好受伤害人员营救；协助相关职能部门对事故现场进行保护，并协助有关部门调查取证；对突发环境事件应急处置中的重要目标和危险区域实施警戒和管制；参与饮用水水源地突发环境事件的应急处置和调查，查处导致水源地突发环境事件的违法犯罪行为。</w:t>
      </w:r>
    </w:p>
    <w:p>
      <w:pPr>
        <w:ind w:firstLine="562"/>
      </w:pPr>
      <w:r>
        <w:rPr>
          <w:rFonts w:hint="eastAsia"/>
          <w:b/>
          <w:bCs/>
        </w:rPr>
        <w:t>（1</w:t>
      </w:r>
      <w:r>
        <w:rPr>
          <w:b/>
          <w:bCs/>
        </w:rPr>
        <w:t>0</w:t>
      </w:r>
      <w:r>
        <w:rPr>
          <w:rFonts w:hint="eastAsia"/>
          <w:b/>
          <w:bCs/>
        </w:rPr>
        <w:t>）县消防大队：</w:t>
      </w:r>
      <w:r>
        <w:rPr>
          <w:rFonts w:hint="eastAsia" w:ascii="仿宋_GB2312"/>
        </w:rPr>
        <w:t>负责应急抢险救援工作，</w:t>
      </w:r>
      <w:r>
        <w:rPr>
          <w:rFonts w:hint="eastAsia"/>
        </w:rPr>
        <w:t>对饮用水水源地突发环境事件事发现场的火灾扑救，人员解困，开展易燃、易爆和有毒物质泄漏等险情控制工作；负责事发现场的局部洗消工作；负责提供临时应急用水，协助现场应急人员做好自身防护工作。</w:t>
      </w:r>
      <w:r>
        <w:t xml:space="preserve"> </w:t>
      </w:r>
    </w:p>
    <w:p>
      <w:pPr>
        <w:ind w:firstLine="562"/>
      </w:pPr>
      <w:r>
        <w:rPr>
          <w:rFonts w:hint="eastAsia"/>
          <w:b/>
          <w:bCs/>
        </w:rPr>
        <w:t>（1</w:t>
      </w:r>
      <w:r>
        <w:rPr>
          <w:b/>
          <w:bCs/>
        </w:rPr>
        <w:t>1</w:t>
      </w:r>
      <w:r>
        <w:rPr>
          <w:rFonts w:hint="eastAsia"/>
          <w:b/>
          <w:bCs/>
        </w:rPr>
        <w:t>）县人武部：</w:t>
      </w:r>
      <w:r>
        <w:rPr>
          <w:rFonts w:hint="eastAsia"/>
        </w:rPr>
        <w:t>协助饮用水水源地突发环境事件的抢救救援工作，协助做好受威胁人员的疏散转移，协助公安部门做好应急期间的社会治安维护。</w:t>
      </w:r>
    </w:p>
    <w:p>
      <w:pPr>
        <w:ind w:firstLine="562"/>
      </w:pPr>
      <w:r>
        <w:rPr>
          <w:rFonts w:hint="eastAsia"/>
          <w:b/>
          <w:bCs/>
        </w:rPr>
        <w:t>（1</w:t>
      </w:r>
      <w:r>
        <w:rPr>
          <w:b/>
          <w:bCs/>
        </w:rPr>
        <w:t>2</w:t>
      </w:r>
      <w:r>
        <w:rPr>
          <w:rFonts w:hint="eastAsia"/>
          <w:b/>
          <w:bCs/>
        </w:rPr>
        <w:t>）县气象局：</w:t>
      </w:r>
      <w:r>
        <w:rPr>
          <w:rFonts w:hint="eastAsia"/>
        </w:rPr>
        <w:t>负责提供事故现场应急区域的气象信息和天气预报，及时提供现场附近的气象监测实况数据，分析气象条件对饮用水源突发环境事件的影响。</w:t>
      </w:r>
    </w:p>
    <w:p>
      <w:pPr>
        <w:ind w:firstLine="562"/>
      </w:pPr>
      <w:r>
        <w:rPr>
          <w:rFonts w:hint="eastAsia"/>
          <w:b/>
          <w:bCs/>
        </w:rPr>
        <w:t>（1</w:t>
      </w:r>
      <w:r>
        <w:rPr>
          <w:b/>
          <w:bCs/>
        </w:rPr>
        <w:t>3</w:t>
      </w:r>
      <w:r>
        <w:rPr>
          <w:rFonts w:hint="eastAsia"/>
          <w:b/>
          <w:bCs/>
        </w:rPr>
        <w:t>）县自然资源和规划局：</w:t>
      </w:r>
      <w:r>
        <w:rPr>
          <w:rFonts w:hint="eastAsia"/>
        </w:rPr>
        <w:t>规划、建设和管理适用于饮用水水源地突发环境事件应急处置的场地，</w:t>
      </w:r>
      <w:r>
        <w:rPr>
          <w:rFonts w:hint="eastAsia" w:ascii="仿宋_GB2312"/>
        </w:rPr>
        <w:t>开展应急测绘，提供地理信息供应急决策使用</w:t>
      </w:r>
      <w:r>
        <w:rPr>
          <w:rFonts w:hint="eastAsia"/>
        </w:rPr>
        <w:t>；参与饮用水水源地突发环境事件的调查和应急处置工作。</w:t>
      </w:r>
    </w:p>
    <w:p>
      <w:pPr>
        <w:ind w:firstLine="562"/>
      </w:pPr>
      <w:r>
        <w:rPr>
          <w:rFonts w:hint="eastAsia"/>
          <w:b/>
          <w:bCs/>
        </w:rPr>
        <w:t>（1</w:t>
      </w:r>
      <w:r>
        <w:rPr>
          <w:b/>
          <w:bCs/>
        </w:rPr>
        <w:t>4</w:t>
      </w:r>
      <w:r>
        <w:rPr>
          <w:rFonts w:hint="eastAsia"/>
          <w:b/>
          <w:bCs/>
        </w:rPr>
        <w:t>）县委宣传部：</w:t>
      </w:r>
      <w:r>
        <w:rPr>
          <w:rFonts w:hint="eastAsia"/>
        </w:rPr>
        <w:t>负责组织协调相关部门做好饮用水水源地突发环境事件应急信息的新闻发布工作，正确引导舆论；会同相关部门管理、协调和指导媒体的采访报道工作。</w:t>
      </w:r>
    </w:p>
    <w:p>
      <w:pPr>
        <w:ind w:firstLine="562"/>
      </w:pPr>
      <w:r>
        <w:rPr>
          <w:rFonts w:hint="eastAsia"/>
          <w:b/>
          <w:bCs/>
        </w:rPr>
        <w:t>（1</w:t>
      </w:r>
      <w:r>
        <w:rPr>
          <w:b/>
          <w:bCs/>
        </w:rPr>
        <w:t>5</w:t>
      </w:r>
      <w:r>
        <w:rPr>
          <w:rFonts w:hint="eastAsia"/>
          <w:b/>
          <w:bCs/>
        </w:rPr>
        <w:t>）县科商经局：</w:t>
      </w:r>
      <w:r>
        <w:rPr>
          <w:rFonts w:hint="eastAsia"/>
        </w:rPr>
        <w:t>负责和协调应急物资的保障工作，负责和协调应急救援物资及临时安置等重要物资的紧急生产，负责和协调保障群众基本生活必需品和应急物资的市场供应。</w:t>
      </w:r>
    </w:p>
    <w:p>
      <w:pPr>
        <w:ind w:firstLine="562"/>
      </w:pPr>
      <w:r>
        <w:rPr>
          <w:rFonts w:hint="eastAsia"/>
          <w:b/>
          <w:bCs/>
        </w:rPr>
        <w:t>（1</w:t>
      </w:r>
      <w:r>
        <w:rPr>
          <w:b/>
          <w:bCs/>
        </w:rPr>
        <w:t>6</w:t>
      </w:r>
      <w:r>
        <w:rPr>
          <w:rFonts w:hint="eastAsia"/>
          <w:b/>
          <w:bCs/>
        </w:rPr>
        <w:t>）休宁经开区管委会：</w:t>
      </w:r>
      <w:r>
        <w:rPr>
          <w:rFonts w:hint="eastAsia"/>
        </w:rPr>
        <w:t>负责组织、协调区域内饮用水水源突发环境事件的预警、应急、先期处置、后期处理工作；负责区域内突发环境事件的应急监测，提出污染控制、消除处置建议；协调做好应急物资调度工作；负责区域内突发环境事件抢险救援工作，协助做好受威胁人员疏散转移与应急期间社会治安维护；负责和协调突发环境事件的善后处置、评估和修复工作。</w:t>
      </w:r>
    </w:p>
    <w:p>
      <w:pPr>
        <w:ind w:firstLine="562"/>
      </w:pPr>
      <w:r>
        <w:rPr>
          <w:rFonts w:hint="eastAsia"/>
          <w:b/>
          <w:bCs/>
        </w:rPr>
        <w:t>（1</w:t>
      </w:r>
      <w:r>
        <w:rPr>
          <w:b/>
          <w:bCs/>
        </w:rPr>
        <w:t>7</w:t>
      </w:r>
      <w:r>
        <w:rPr>
          <w:rFonts w:hint="eastAsia"/>
          <w:b/>
          <w:bCs/>
        </w:rPr>
        <w:t>）县供水有限责任公司：</w:t>
      </w:r>
      <w:r>
        <w:rPr>
          <w:rFonts w:hint="eastAsia"/>
        </w:rPr>
        <w:t>负责供水设施的日常维护和管理，并对取水口实时监控，协助管理部门做好备用、联网水源的开启调度工作；负责调度和保障涉及饮用水水源地突发环境事件发生地的群众饮用水供应工作，保障群众居民饮用水安全。</w:t>
      </w:r>
    </w:p>
    <w:p>
      <w:pPr>
        <w:ind w:firstLine="562"/>
      </w:pPr>
      <w:r>
        <w:rPr>
          <w:rFonts w:hint="eastAsia"/>
          <w:b/>
          <w:bCs/>
        </w:rPr>
        <w:t>（1</w:t>
      </w:r>
      <w:r>
        <w:rPr>
          <w:b/>
          <w:bCs/>
        </w:rPr>
        <w:t>8</w:t>
      </w:r>
      <w:r>
        <w:rPr>
          <w:rFonts w:hint="eastAsia"/>
          <w:b/>
          <w:bCs/>
        </w:rPr>
        <w:t>）黄山水务控股集团有限公司：</w:t>
      </w:r>
      <w:r>
        <w:rPr>
          <w:rFonts w:hint="eastAsia"/>
        </w:rPr>
        <w:t>负责供水设施的日常维护和管理，并对取水口实时监控，协助管理部门做好备用、联网水源的开启调度工作；负责调度和保障涉及饮用水水源地突发环境事件发生地的群众饮用水供应工作，保障群众居民饮用水安全。</w:t>
      </w:r>
    </w:p>
    <w:p>
      <w:pPr>
        <w:ind w:firstLine="562"/>
      </w:pPr>
      <w:r>
        <w:rPr>
          <w:rFonts w:hint="eastAsia"/>
          <w:b/>
          <w:bCs/>
        </w:rPr>
        <w:t>（1</w:t>
      </w:r>
      <w:r>
        <w:rPr>
          <w:b/>
          <w:bCs/>
        </w:rPr>
        <w:t>9</w:t>
      </w:r>
      <w:r>
        <w:rPr>
          <w:rFonts w:hint="eastAsia"/>
          <w:b/>
          <w:bCs/>
        </w:rPr>
        <w:t>）各乡镇人民政府</w:t>
      </w:r>
      <w:r>
        <w:rPr>
          <w:rFonts w:hint="eastAsia"/>
        </w:rPr>
        <w:t>：各乡镇人民政府、社区在县政府统一领导下，负责组织、协调行政区域内饮用水水源突发环境事件的预警、应急、先期处置、后期处理工作；负责辖区污染区域内群众的安置、转移和救济，同时配合组织突发环境事件的善后处置、评估和修复工作。</w:t>
      </w:r>
    </w:p>
    <w:p>
      <w:pPr>
        <w:ind w:firstLine="562"/>
      </w:pPr>
      <w:r>
        <w:rPr>
          <w:rFonts w:hint="eastAsia"/>
          <w:b/>
          <w:bCs/>
        </w:rPr>
        <w:t>（</w:t>
      </w:r>
      <w:r>
        <w:rPr>
          <w:b/>
          <w:bCs/>
        </w:rPr>
        <w:t>20</w:t>
      </w:r>
      <w:r>
        <w:rPr>
          <w:rFonts w:hint="eastAsia"/>
          <w:b/>
          <w:bCs/>
        </w:rPr>
        <w:t>）县通信相关公司（联通、移动、电信）</w:t>
      </w:r>
      <w:r>
        <w:rPr>
          <w:rFonts w:hint="eastAsia"/>
        </w:rPr>
        <w:t>：负责应急期间的通信保障。</w:t>
      </w:r>
    </w:p>
    <w:p>
      <w:pPr>
        <w:ind w:firstLine="562"/>
      </w:pPr>
      <w:r>
        <w:rPr>
          <w:rFonts w:hint="eastAsia"/>
          <w:b/>
          <w:bCs/>
        </w:rPr>
        <w:t>（</w:t>
      </w:r>
      <w:r>
        <w:rPr>
          <w:b/>
          <w:bCs/>
        </w:rPr>
        <w:t>21</w:t>
      </w:r>
      <w:r>
        <w:rPr>
          <w:rFonts w:hint="eastAsia"/>
          <w:b/>
          <w:bCs/>
        </w:rPr>
        <w:t>）县供电公司</w:t>
      </w:r>
      <w:r>
        <w:rPr>
          <w:rFonts w:hint="eastAsia"/>
        </w:rPr>
        <w:t>：负责应急期间的电力保障；负责抢修灾害期间损坏的电力设备等。</w:t>
      </w:r>
    </w:p>
    <w:p>
      <w:pPr>
        <w:ind w:firstLine="560"/>
      </w:pPr>
      <w:r>
        <w:rPr>
          <w:rFonts w:hint="eastAsia"/>
        </w:rPr>
        <w:t>其他相关部门按照县水源地应急指挥部统一领导和部门职责开展相关工作。</w:t>
      </w:r>
    </w:p>
    <w:p>
      <w:pPr>
        <w:ind w:firstLine="560"/>
      </w:pPr>
      <w:r>
        <w:rPr>
          <w:rFonts w:hint="eastAsia"/>
        </w:rPr>
        <w:t>休宁县集中式饮用水水源地应急组织指挥机构组成、职责分工和人员名单见附件</w:t>
      </w:r>
      <w:r>
        <w:t>4</w:t>
      </w:r>
      <w:r>
        <w:rPr>
          <w:rFonts w:hint="eastAsia"/>
        </w:rPr>
        <w:t>应急组织指挥机构和职责。</w:t>
      </w:r>
    </w:p>
    <w:bookmarkEnd w:id="18"/>
    <w:p>
      <w:pPr>
        <w:pStyle w:val="37"/>
      </w:pPr>
      <w:bookmarkStart w:id="19" w:name="_Toc153869654"/>
      <w:r>
        <w:rPr>
          <w:rFonts w:hint="eastAsia"/>
        </w:rPr>
        <w:t>2.2现场应急指挥部</w:t>
      </w:r>
      <w:bookmarkEnd w:id="19"/>
    </w:p>
    <w:p>
      <w:pPr>
        <w:ind w:firstLine="560"/>
      </w:pPr>
      <w:r>
        <w:rPr>
          <w:rFonts w:hint="eastAsia"/>
        </w:rPr>
        <w:t>1、组织程序</w:t>
      </w:r>
    </w:p>
    <w:p>
      <w:pPr>
        <w:ind w:firstLine="560"/>
      </w:pPr>
      <w:r>
        <w:rPr>
          <w:rFonts w:hint="eastAsia"/>
        </w:rPr>
        <w:t>在休宁县集中式饮用水水源地突发环境事件发生时，应急组织指挥机构根据需要启动应急预案，应急组织指挥机构自动转为应急指挥部，副总指挥在报总指挥批准后根据需要进行人员调配。如上级应急指挥机构领导到达现场应急，总指挥应立即报告情况，并移交指挥权。</w:t>
      </w:r>
    </w:p>
    <w:p>
      <w:pPr>
        <w:ind w:firstLine="560"/>
      </w:pPr>
      <w:r>
        <w:rPr>
          <w:rFonts w:hint="eastAsia"/>
        </w:rPr>
        <w:t>根据不同突发环境事件情景，可在应急指挥机构中选择有直接关系的部门和单位成立现场应急指挥部，全面负责指挥、组织和协调水源地突发环境事件的应急响应工作。</w:t>
      </w:r>
    </w:p>
    <w:p>
      <w:pPr>
        <w:ind w:firstLine="560"/>
      </w:pPr>
      <w:r>
        <w:rPr>
          <w:rFonts w:hint="eastAsia"/>
        </w:rPr>
        <w:t>2、组成部门及其职责</w:t>
      </w:r>
    </w:p>
    <w:p>
      <w:pPr>
        <w:ind w:firstLine="560"/>
      </w:pPr>
      <w:r>
        <w:rPr>
          <w:rFonts w:hint="eastAsia"/>
        </w:rPr>
        <w:t>（1）组成部门</w:t>
      </w:r>
    </w:p>
    <w:p>
      <w:pPr>
        <w:ind w:firstLine="560"/>
      </w:pPr>
      <w:r>
        <w:rPr>
          <w:rFonts w:hint="eastAsia"/>
        </w:rPr>
        <w:t>现场指挥：县分管生态环境副县长</w:t>
      </w:r>
    </w:p>
    <w:p>
      <w:pPr>
        <w:ind w:firstLine="560"/>
      </w:pPr>
      <w:r>
        <w:rPr>
          <w:rFonts w:hint="eastAsia"/>
        </w:rPr>
        <w:t>副指挥：县生态环境分局局长和县应急管理局局长</w:t>
      </w:r>
    </w:p>
    <w:p>
      <w:pPr>
        <w:ind w:firstLine="560"/>
      </w:pPr>
      <w:r>
        <w:rPr>
          <w:rFonts w:hint="eastAsia"/>
        </w:rPr>
        <w:t>成员：由县生态环境分局、应急管理局、县住建局、县卫健委、县农业农村水利局、县民政局、县财政局、县交通运输局、县公安局、县消防大队、县气象局、县人武部、县自然资源和规划局、县科商经局、休宁经开区管委会、县委宣传部、县供水有限责任公司、黄山水务控股集团有限公司、驻休宁县通信相关公司、县供电公司和各相关乡镇等单位组成。</w:t>
      </w:r>
    </w:p>
    <w:p>
      <w:pPr>
        <w:ind w:firstLine="560"/>
      </w:pPr>
      <w:r>
        <w:rPr>
          <w:rFonts w:hint="eastAsia"/>
        </w:rPr>
        <w:t>（2）职责</w:t>
      </w:r>
    </w:p>
    <w:p>
      <w:pPr>
        <w:ind w:firstLine="560"/>
      </w:pPr>
      <w:r>
        <w:rPr>
          <w:rFonts w:hint="eastAsia"/>
        </w:rPr>
        <w:t>①提出现场处置原则、要求，依法及时下达应对突发环境事件的决定、命令；</w:t>
      </w:r>
    </w:p>
    <w:p>
      <w:pPr>
        <w:ind w:firstLine="560"/>
      </w:pPr>
      <w:r>
        <w:rPr>
          <w:rFonts w:hint="eastAsia"/>
        </w:rPr>
        <w:t>②调度人员、设备、物资等，组织应急小组赶赴现场，协调各级、各专业应急力量实施应急救援行动；</w:t>
      </w:r>
    </w:p>
    <w:p>
      <w:pPr>
        <w:ind w:firstLine="560"/>
      </w:pPr>
      <w:r>
        <w:rPr>
          <w:rFonts w:hint="eastAsia"/>
        </w:rPr>
        <w:t>③通知环境监测站或卫生（疾控）部门按照“应急监测预案”进行监测分析，确定污染程度；</w:t>
      </w:r>
    </w:p>
    <w:p>
      <w:pPr>
        <w:ind w:firstLine="560"/>
      </w:pPr>
      <w:r>
        <w:rPr>
          <w:rFonts w:hint="eastAsia"/>
        </w:rPr>
        <w:t>④邀请、选派有关专家和人员参与现场应急指挥；</w:t>
      </w:r>
    </w:p>
    <w:p>
      <w:pPr>
        <w:ind w:firstLine="560"/>
      </w:pPr>
      <w:r>
        <w:rPr>
          <w:rFonts w:hint="eastAsia"/>
        </w:rPr>
        <w:t>⑤根据现场调查结果并参考专家意见，确定事故处置的技术措施；</w:t>
      </w:r>
    </w:p>
    <w:p>
      <w:pPr>
        <w:ind w:firstLine="560"/>
      </w:pPr>
      <w:r>
        <w:rPr>
          <w:rFonts w:hint="eastAsia"/>
        </w:rPr>
        <w:t>⑥指挥各部门指定人员进行现场调查、取证工作；</w:t>
      </w:r>
    </w:p>
    <w:p>
      <w:pPr>
        <w:ind w:firstLine="560"/>
      </w:pPr>
      <w:r>
        <w:rPr>
          <w:rFonts w:hint="eastAsia"/>
        </w:rPr>
        <w:t>⑦协调事发地周边危险源的监控管理；</w:t>
      </w:r>
    </w:p>
    <w:p>
      <w:pPr>
        <w:ind w:firstLine="560"/>
      </w:pPr>
      <w:r>
        <w:rPr>
          <w:rFonts w:hint="eastAsia"/>
        </w:rPr>
        <w:t>⑧指挥污染区域的警戒工作，指挥污染物的处置工作；</w:t>
      </w:r>
    </w:p>
    <w:p>
      <w:pPr>
        <w:ind w:firstLine="560"/>
      </w:pPr>
      <w:r>
        <w:rPr>
          <w:rFonts w:hint="eastAsia"/>
        </w:rPr>
        <w:t>⑨负责对外协调沟通、事故分析、信息上报工作。</w:t>
      </w:r>
    </w:p>
    <w:p>
      <w:pPr>
        <w:pStyle w:val="37"/>
      </w:pPr>
      <w:bookmarkStart w:id="20" w:name="_Toc153869655"/>
      <w:r>
        <w:rPr>
          <w:rFonts w:hint="eastAsia"/>
        </w:rPr>
        <w:t>2.3现场应急工作组</w:t>
      </w:r>
      <w:bookmarkEnd w:id="20"/>
    </w:p>
    <w:p>
      <w:pPr>
        <w:pStyle w:val="38"/>
        <w:spacing w:before="120" w:after="120"/>
        <w:ind w:firstLine="562"/>
      </w:pPr>
      <w:r>
        <w:rPr>
          <w:rFonts w:hint="eastAsia"/>
        </w:rPr>
        <w:t>2.3.1组成</w:t>
      </w:r>
    </w:p>
    <w:p>
      <w:pPr>
        <w:ind w:firstLine="560"/>
      </w:pPr>
      <w:bookmarkStart w:id="21" w:name="_Hlk150249269"/>
      <w:r>
        <w:rPr>
          <w:rFonts w:hint="eastAsia"/>
        </w:rPr>
        <w:t>现场应急工作组包括：应急处置组、应急监测组、应急供水保障组、应急物资保障组、应急专家组、综合组。</w:t>
      </w:r>
    </w:p>
    <w:bookmarkEnd w:id="21"/>
    <w:p>
      <w:pPr>
        <w:pStyle w:val="38"/>
        <w:spacing w:before="120" w:after="120"/>
        <w:ind w:firstLine="562"/>
      </w:pPr>
      <w:r>
        <w:rPr>
          <w:rFonts w:hint="eastAsia"/>
        </w:rPr>
        <w:t>2.3.2各工作组职责</w:t>
      </w:r>
    </w:p>
    <w:p>
      <w:pPr>
        <w:ind w:firstLine="560"/>
      </w:pPr>
      <w:r>
        <w:rPr>
          <w:rFonts w:hint="eastAsia"/>
        </w:rPr>
        <w:t>1、应急处置组</w:t>
      </w:r>
    </w:p>
    <w:p>
      <w:pPr>
        <w:ind w:firstLine="560"/>
      </w:pPr>
      <w:r>
        <w:rPr>
          <w:rFonts w:hint="eastAsia"/>
        </w:rPr>
        <w:t>牵头单位：县生态环境分局</w:t>
      </w:r>
    </w:p>
    <w:p>
      <w:pPr>
        <w:ind w:firstLine="560"/>
      </w:pPr>
      <w:r>
        <w:rPr>
          <w:rFonts w:hint="eastAsia"/>
        </w:rPr>
        <w:t>协助单位：县应急管理局、县公安局、县交通运输局、县农业农村水利局、县自然资源和规划局、县消防大队、县供水有限责任公司、黄山水务控股集团有限公司和事发地乡镇人民政府等单位组成。</w:t>
      </w:r>
    </w:p>
    <w:p>
      <w:pPr>
        <w:ind w:firstLine="560"/>
      </w:pPr>
      <w:r>
        <w:rPr>
          <w:rFonts w:hint="eastAsia"/>
        </w:rPr>
        <w:t>主要职责：组织开展现场调查，收集汇总相关数据，及时掌握水源地突发事件的地点及影响范围，组织技术研判和事态分析，组织制定应急处置方案；迅速组织切断污染源，分析污染途径，确定防止污染物扩散的程序；组织采取有效措施，负责现场污染物消除、围堵和削减，以及污染物收集、转运和异地处置等工作；明确不同情况下的现场处置人员须采取的个人防护措施；确定受威胁人员疏散方式和途径，疏散受威胁人员转移至安全紧急避险场所；跟踪污染动态，对建立和解除污染警报的时间、区域提出建议；及时向县水源地应急指挥部报告污染扩散情况和事故处理情况，并根据事故现场发展情况和应急指挥部指示及时调整对策，直至污染事故警报解除等。</w:t>
      </w:r>
    </w:p>
    <w:p>
      <w:pPr>
        <w:ind w:firstLine="560"/>
      </w:pPr>
      <w:r>
        <w:rPr>
          <w:rFonts w:hint="eastAsia"/>
        </w:rPr>
        <w:t>2、应急监测组</w:t>
      </w:r>
    </w:p>
    <w:p>
      <w:pPr>
        <w:ind w:firstLine="560"/>
      </w:pPr>
      <w:r>
        <w:rPr>
          <w:rFonts w:hint="eastAsia"/>
        </w:rPr>
        <w:t>牵头单位：县生态环境分局</w:t>
      </w:r>
    </w:p>
    <w:p>
      <w:pPr>
        <w:ind w:firstLine="560"/>
      </w:pPr>
      <w:r>
        <w:rPr>
          <w:rFonts w:hint="eastAsia"/>
        </w:rPr>
        <w:t>协助单位：县卫健委、县住建局、县农业农村水利局、县自然资源和规划局、县气象局、环境监测部门、县供水有限责任公司、黄山水务控股集团有限公司和事发地乡镇人民政府等单位组成。</w:t>
      </w:r>
    </w:p>
    <w:p>
      <w:pPr>
        <w:ind w:firstLine="560"/>
      </w:pPr>
      <w:r>
        <w:rPr>
          <w:rFonts w:hint="eastAsia"/>
        </w:rPr>
        <w:t>主要职责：负责组织区域内突发环境事件应急监测，根据现场情况明确相应的应急监测方案及监测方法；为突发环境事件应急决策提供依据；负责应急期间的水源地、供水单位和管网末梢水的水质监测等。</w:t>
      </w:r>
    </w:p>
    <w:p>
      <w:pPr>
        <w:ind w:firstLine="560"/>
      </w:pPr>
      <w:r>
        <w:rPr>
          <w:rFonts w:hint="eastAsia"/>
        </w:rPr>
        <w:t>3、应急供水保障组</w:t>
      </w:r>
    </w:p>
    <w:p>
      <w:pPr>
        <w:ind w:firstLine="560"/>
      </w:pPr>
      <w:r>
        <w:rPr>
          <w:rFonts w:hint="eastAsia"/>
        </w:rPr>
        <w:t>牵头单位：县住建局</w:t>
      </w:r>
    </w:p>
    <w:p>
      <w:pPr>
        <w:ind w:firstLine="560"/>
      </w:pPr>
      <w:r>
        <w:rPr>
          <w:rFonts w:hint="eastAsia"/>
        </w:rPr>
        <w:t>协助单位：县卫健委、县民政局、县公安局、县消防大队、县供水有限责任公司、黄山水务控股集团有限公司和各乡镇人民政府等单位组成。</w:t>
      </w:r>
    </w:p>
    <w:p>
      <w:pPr>
        <w:ind w:firstLine="560"/>
      </w:pPr>
      <w:r>
        <w:rPr>
          <w:rFonts w:hint="eastAsia"/>
        </w:rPr>
        <w:t>主要职责：负责制定应急供水保障方案；督促事件下游相关水厂采取停水、减压供水、改路供水、指导供水单位启动深度处理设施或备用水源以及应急供水车等措施，保障居民用水等。必要时采取停水措施，由县政府调用消防、园林、环卫运水车辆组成应急供水车队，由自来水公司应急供水小组配合分区域送水，确保市民基本生活用水。</w:t>
      </w:r>
    </w:p>
    <w:p>
      <w:pPr>
        <w:ind w:firstLine="560"/>
      </w:pPr>
      <w:r>
        <w:rPr>
          <w:rFonts w:hint="eastAsia"/>
        </w:rPr>
        <w:t>4、应急物资保障组</w:t>
      </w:r>
    </w:p>
    <w:p>
      <w:pPr>
        <w:ind w:firstLine="560"/>
      </w:pPr>
      <w:r>
        <w:rPr>
          <w:rFonts w:hint="eastAsia"/>
        </w:rPr>
        <w:t>牵头单位：县应急管理局</w:t>
      </w:r>
    </w:p>
    <w:p>
      <w:pPr>
        <w:ind w:firstLine="560"/>
      </w:pPr>
      <w:r>
        <w:rPr>
          <w:rFonts w:hint="eastAsia"/>
        </w:rPr>
        <w:t>协助单位：县财政局、县生态环境分局、县科商经局、县交通运输局和事发地乡镇人民政府等单位组成。</w:t>
      </w:r>
    </w:p>
    <w:p>
      <w:pPr>
        <w:ind w:firstLine="560"/>
      </w:pPr>
      <w:r>
        <w:rPr>
          <w:rFonts w:hint="eastAsia"/>
        </w:rPr>
        <w:t>主要职责：负责制定应急物资保障方案；指导做好事件影响区域有关人员的临时安置工作；组织做好环境应急救援物资及临时安置重要物资的紧急生产、储备调拨和紧急配送工作；及时组织调运重要生活必需品，保障群众基本生活和市场供应等。</w:t>
      </w:r>
    </w:p>
    <w:p>
      <w:pPr>
        <w:ind w:firstLine="560"/>
      </w:pPr>
      <w:r>
        <w:rPr>
          <w:rFonts w:hint="eastAsia"/>
        </w:rPr>
        <w:t>5、应急专家组</w:t>
      </w:r>
    </w:p>
    <w:p>
      <w:pPr>
        <w:ind w:firstLine="560"/>
      </w:pPr>
      <w:r>
        <w:rPr>
          <w:rFonts w:hint="eastAsia"/>
        </w:rPr>
        <w:t>应急专家组以县生态环境分局为召集单位，并负责专家组成员的维护和动态更新。</w:t>
      </w:r>
    </w:p>
    <w:p>
      <w:pPr>
        <w:ind w:firstLine="560"/>
      </w:pPr>
      <w:r>
        <w:rPr>
          <w:rFonts w:hint="eastAsia"/>
        </w:rPr>
        <w:t>专家组成：由大专院校、科研机构、企事业等有关单位专家组成，主要涵盖环境应急管理、环境监测与评价、化工、安全生产、生态环境保护、农林水利、防化等专业领域，建立咨询专家库，由现场应急指挥组从专家库中抽调相关人员，成立应急专家组。</w:t>
      </w:r>
    </w:p>
    <w:p>
      <w:pPr>
        <w:ind w:firstLine="560"/>
      </w:pPr>
      <w:r>
        <w:rPr>
          <w:rFonts w:hint="eastAsia"/>
        </w:rPr>
        <w:t>主要职责：应急预案启动后，根据突发环境事件的类型，组织相关专家参与突发环境事件调查、原因分析，对事件的信息进行综合分析和研究；协助判别事件类型和预警等级；对饮用水水源地突发环境事件的发展趋势、处置办法、损失、生态恢复方案等进行研究、评估，并提出相关建议；指导饮用水水源地突发环境事件应急处置工作，对应急处理、污染控制和事件后期评估与总结等提供咨询。</w:t>
      </w:r>
    </w:p>
    <w:p>
      <w:pPr>
        <w:ind w:firstLine="560"/>
      </w:pPr>
      <w:r>
        <w:rPr>
          <w:rFonts w:hint="eastAsia"/>
        </w:rPr>
        <w:t>6、综合组</w:t>
      </w:r>
    </w:p>
    <w:p>
      <w:pPr>
        <w:ind w:firstLine="560"/>
      </w:pPr>
      <w:r>
        <w:rPr>
          <w:rFonts w:hint="eastAsia"/>
        </w:rPr>
        <w:t>综合组为协调机构，熟悉应急管理、信息报告、信息发布和舆情应对等方面，由县委宣传部、县应急管理局、县生态环境分局、县公安局、县农业农村水利局、事发地乡镇人民政府等单位组成。</w:t>
      </w:r>
    </w:p>
    <w:p>
      <w:pPr>
        <w:ind w:firstLine="560"/>
      </w:pPr>
      <w:r>
        <w:rPr>
          <w:rFonts w:hint="eastAsia"/>
        </w:rPr>
        <w:t>主要职责为：负责信息报告、信息发布和舆情应对等工作；加强转移人员安置点、救灾物资存放点等重点地区治安管控；维护社会稳定，对发生的群体性事件，组织专业力量稳妥处置；负责开展饮用水水源地突发环境事件污染损害调查等。</w:t>
      </w:r>
    </w:p>
    <w:p>
      <w:pPr>
        <w:ind w:firstLine="0" w:firstLineChars="0"/>
      </w:pPr>
    </w:p>
    <w:p>
      <w:pPr>
        <w:ind w:firstLine="560"/>
        <w:sectPr>
          <w:footerReference r:id="rId11" w:type="default"/>
          <w:pgSz w:w="11906" w:h="16838"/>
          <w:pgMar w:top="1440" w:right="1800" w:bottom="1440" w:left="1800" w:header="907" w:footer="992" w:gutter="0"/>
          <w:pgNumType w:start="1"/>
          <w:cols w:space="720" w:num="1"/>
          <w:docGrid w:linePitch="381" w:charSpace="0"/>
        </w:sectPr>
      </w:pPr>
    </w:p>
    <w:p>
      <w:pPr>
        <w:pStyle w:val="2"/>
      </w:pPr>
      <w:bookmarkStart w:id="22" w:name="_Toc153869656"/>
      <w:r>
        <w:rPr>
          <w:rFonts w:hint="eastAsia"/>
        </w:rPr>
        <w:t>3应急响应</w:t>
      </w:r>
      <w:bookmarkEnd w:id="22"/>
    </w:p>
    <w:p>
      <w:pPr>
        <w:pStyle w:val="37"/>
      </w:pPr>
      <w:bookmarkStart w:id="23" w:name="_Toc153869657"/>
      <w:r>
        <w:rPr>
          <w:rFonts w:hint="eastAsia"/>
        </w:rPr>
        <w:t>3.1预警</w:t>
      </w:r>
      <w:bookmarkEnd w:id="23"/>
    </w:p>
    <w:p>
      <w:pPr>
        <w:ind w:firstLine="560"/>
      </w:pPr>
      <w:r>
        <w:rPr>
          <w:rFonts w:hint="eastAsia"/>
        </w:rPr>
        <w:t>应急响应包括信息收集和研判、预警、信息报告与通报、事态研判、应急监测、污染源排查与处置、应急处置、物资调集及应急设施启用、舆情监测与信息发布、响应终止等方面的具体内容。</w:t>
      </w:r>
    </w:p>
    <w:p>
      <w:pPr>
        <w:pStyle w:val="38"/>
        <w:spacing w:before="120" w:after="120"/>
        <w:ind w:firstLine="562"/>
      </w:pPr>
      <w:r>
        <w:t>3.1.1</w:t>
      </w:r>
      <w:r>
        <w:rPr>
          <w:rFonts w:hint="eastAsia"/>
        </w:rPr>
        <w:t>信息收集与信息研判</w:t>
      </w:r>
    </w:p>
    <w:p>
      <w:pPr>
        <w:ind w:firstLine="560"/>
      </w:pPr>
      <w:r>
        <w:rPr>
          <w:rFonts w:hint="eastAsia"/>
        </w:rPr>
        <w:t>1、信息收集</w:t>
      </w:r>
    </w:p>
    <w:p>
      <w:pPr>
        <w:ind w:firstLine="560"/>
      </w:pPr>
      <w:r>
        <w:rPr>
          <w:rFonts w:hint="eastAsia"/>
        </w:rPr>
        <w:t>本预案明确信息收集的责任单位主要为协调办公室。信息收集范围与本水源地应急预案适用的地域范围保持一致。</w:t>
      </w:r>
    </w:p>
    <w:p>
      <w:pPr>
        <w:ind w:firstLine="560"/>
      </w:pPr>
      <w:r>
        <w:rPr>
          <w:rFonts w:hint="eastAsia"/>
        </w:rPr>
        <w:t>县水源地应急指挥部有关成员单位等各相关部门要开展环境信息、自然灾害预警信息、常规环境监测数据的综合分析和风险评估工作。各相关部门按照早发现、早报告、早处置的原则，根据各自职责，收集和传递县域内发生饮用水水源地突发环境事件的信息，相关职能部门对饮用水水源地突发环境事件预警信息经核实后，及时通报县水源地应急指挥部和县政府；对较大以上的饮用水水源地突发环境事件预警信息经核实后，及时上报市生态环境局和市政府。</w:t>
      </w:r>
    </w:p>
    <w:p>
      <w:pPr>
        <w:ind w:firstLine="560"/>
      </w:pPr>
      <w:r>
        <w:rPr>
          <w:rFonts w:hint="eastAsia"/>
        </w:rPr>
        <w:t>信息来源、信息收集范围和途径包括但不限于以下途径：</w:t>
      </w:r>
    </w:p>
    <w:p>
      <w:pPr>
        <w:ind w:firstLine="560"/>
      </w:pPr>
      <w:r>
        <w:rPr>
          <w:rFonts w:hint="eastAsia"/>
        </w:rPr>
        <w:t>（1）县生态环境分局、县供水有限责任公司、</w:t>
      </w:r>
      <w:bookmarkStart w:id="24" w:name="_Hlk145056332"/>
      <w:r>
        <w:rPr>
          <w:rFonts w:hint="eastAsia"/>
        </w:rPr>
        <w:t>黄山水务控股集团有限公司</w:t>
      </w:r>
      <w:bookmarkEnd w:id="24"/>
      <w:r>
        <w:rPr>
          <w:rFonts w:hint="eastAsia"/>
        </w:rPr>
        <w:t>、各乡镇人民政府等部门负责饮用水水源地突发环境事件中饮用水水源的水质监测数据等信息的接收、报告、处理、统计分析和信息监控工作。</w:t>
      </w:r>
    </w:p>
    <w:p>
      <w:pPr>
        <w:ind w:firstLine="560"/>
      </w:pPr>
      <w:r>
        <w:rPr>
          <w:rFonts w:hint="eastAsia"/>
        </w:rPr>
        <w:t>可通过流域、水源地或供水单位开展的水质监督性监测（常规断面）、在线监测（常规和预警监控断面）等日常监管渠道获取水质异常信息，也可以通过水文气象、地质灾害、水源地上游及周边主要风险源监控获取的异常排放等信息开展水质预测预警，获取水质异常信息。</w:t>
      </w:r>
    </w:p>
    <w:p>
      <w:pPr>
        <w:ind w:firstLine="560"/>
      </w:pPr>
      <w:r>
        <w:rPr>
          <w:rFonts w:hint="eastAsia"/>
        </w:rPr>
        <w:t>（2）县公安局、交通运输局负责由交通安全事件引发的饮用水水源地突发环境事件信息接收、报告、处理、统计分析和信息监控工作。</w:t>
      </w:r>
    </w:p>
    <w:p>
      <w:pPr>
        <w:ind w:firstLine="560"/>
      </w:pPr>
      <w:r>
        <w:rPr>
          <w:rFonts w:hint="eastAsia"/>
        </w:rPr>
        <w:t>（3）县应急管理局、休宁经开区管委会、科商经负责收集由安全生产事故引发的次生突发环境事件，可能对水源地周边或上游造成影响的信息；负责地质灾害引发饮用水水源地突发水环境事件信息接收、报告、处理、统计分析和预警信息监控工作。</w:t>
      </w:r>
    </w:p>
    <w:p>
      <w:pPr>
        <w:ind w:firstLine="560"/>
      </w:pPr>
      <w:r>
        <w:rPr>
          <w:rFonts w:hint="eastAsia"/>
        </w:rPr>
        <w:t>（4）县卫健委负责由水源性致病病原体引发的饮用水水源地突发环境事件的信息接收、报告、处理、统计分析和信息监控工作。</w:t>
      </w:r>
    </w:p>
    <w:p>
      <w:pPr>
        <w:ind w:firstLine="560"/>
      </w:pPr>
      <w:r>
        <w:rPr>
          <w:rFonts w:hint="eastAsia"/>
        </w:rPr>
        <w:t>（5）县农业农村水利局负责饮用水水源地出现死亡畜禽及大面积死鱼等信息的接收、报告、处理、统计分析和信息监控工作。</w:t>
      </w:r>
    </w:p>
    <w:p>
      <w:pPr>
        <w:ind w:firstLine="560"/>
      </w:pPr>
      <w:r>
        <w:rPr>
          <w:rFonts w:hint="eastAsia"/>
        </w:rPr>
        <w:t>（6）县生态环境分局、县供水有限责任公司、黄山水务控股集团有限公司通过对水源地藻类密度变化情况的监测，获取水华事件信息；负责饮用水水源地的水位、流速、流量异常等水文信息及调引水或水质性缺水引发饮用水水源地突发水环境事件信息接收、报告、处理、统计分析和信息监控工作。</w:t>
      </w:r>
    </w:p>
    <w:p>
      <w:pPr>
        <w:ind w:firstLine="560"/>
      </w:pPr>
      <w:r>
        <w:rPr>
          <w:rFonts w:hint="eastAsia"/>
        </w:rPr>
        <w:t>（7）县气象局负责风向、风速、降水量等气象信息及灾害气候引发的异常气象信息接收、报告、处理、统计分析和信息监控工作。</w:t>
      </w:r>
    </w:p>
    <w:p>
      <w:pPr>
        <w:ind w:firstLine="560"/>
      </w:pPr>
      <w:r>
        <w:rPr>
          <w:rFonts w:hint="eastAsia"/>
        </w:rPr>
        <w:t>（8）通过本级人民政府不同部门之间、上下游相邻行政区域政府之间建立的信息收集与共享渠道，获取突发环境事件信息。</w:t>
      </w:r>
    </w:p>
    <w:p>
      <w:pPr>
        <w:ind w:firstLine="560"/>
        <w:rPr>
          <w:color w:val="FF0000"/>
        </w:rPr>
      </w:pPr>
      <w:r>
        <w:rPr>
          <w:rFonts w:hint="eastAsia"/>
        </w:rPr>
        <w:t>（9）任何部门、单位或公民一旦发现水源地污染事故或接到污染事故报告后，应当立即拨打2</w:t>
      </w:r>
      <w:r>
        <w:t>4</w:t>
      </w:r>
      <w:r>
        <w:rPr>
          <w:rFonts w:hint="eastAsia"/>
        </w:rPr>
        <w:t>小时值班电话0</w:t>
      </w:r>
      <w:r>
        <w:t>559-7519770</w:t>
      </w:r>
      <w:r>
        <w:rPr>
          <w:rFonts w:hint="eastAsia"/>
        </w:rPr>
        <w:t>向休宁县人民政府报告或县生态环境分局报告。</w:t>
      </w:r>
    </w:p>
    <w:p>
      <w:pPr>
        <w:ind w:firstLine="560"/>
      </w:pPr>
      <w:r>
        <w:t>2</w:t>
      </w:r>
      <w:r>
        <w:rPr>
          <w:rFonts w:hint="eastAsia"/>
        </w:rPr>
        <w:t>、信息研判</w:t>
      </w:r>
    </w:p>
    <w:p>
      <w:pPr>
        <w:ind w:firstLine="560"/>
      </w:pPr>
      <w:bookmarkStart w:id="25" w:name="_Hlk116162526"/>
      <w:r>
        <w:rPr>
          <w:rFonts w:hint="eastAsia"/>
        </w:rPr>
        <w:t>负责信息核实和研判的责任单位为县水源地应急指挥部下设的协调办公室以及应急专家组，信息研判的程序和方法等具体内容如下：</w:t>
      </w:r>
    </w:p>
    <w:p>
      <w:pPr>
        <w:ind w:firstLine="560"/>
      </w:pPr>
      <w:r>
        <w:rPr>
          <w:rFonts w:hint="eastAsia"/>
        </w:rPr>
        <w:t>（1）协调办公室通过日常监管渠道首次发现水质异常或群众举报、责任单位报告等获取突发事件信息后，应第一时间开展信息研判和会商。</w:t>
      </w:r>
    </w:p>
    <w:p>
      <w:pPr>
        <w:ind w:firstLine="560"/>
      </w:pPr>
      <w:r>
        <w:rPr>
          <w:rFonts w:hint="eastAsia"/>
        </w:rPr>
        <w:t>（2）第一时间对获取的信息，核实真实性。</w:t>
      </w:r>
    </w:p>
    <w:p>
      <w:pPr>
        <w:ind w:firstLine="560"/>
      </w:pPr>
      <w:r>
        <w:rPr>
          <w:rFonts w:hint="eastAsia"/>
        </w:rPr>
        <w:t>（3）进一步收集信息，研判水质变化趋势；必要时会同相关部门共同开展应急监测或补充调查，收集更全面、更权威的资料信息，同步通报生态环境部门。</w:t>
      </w:r>
    </w:p>
    <w:p>
      <w:pPr>
        <w:ind w:firstLine="560"/>
      </w:pPr>
      <w:r>
        <w:rPr>
          <w:rFonts w:hint="eastAsia"/>
        </w:rPr>
        <w:t>（4）发现可能导致水源地突发环境事件的信息时，应及时将有关信息报告县水源地应急指挥部。</w:t>
      </w:r>
    </w:p>
    <w:p>
      <w:pPr>
        <w:ind w:firstLine="560"/>
      </w:pPr>
      <w:r>
        <w:rPr>
          <w:rFonts w:hint="eastAsia"/>
        </w:rPr>
        <w:t>接到信息报告的县水源地应急指挥部应立即组织有关部门及应急专家进行会商，对收集到的信息进行筛选、评估、分析，研判水质变化趋势，提出应对方案和建议，研究决定是否发布预警信息或启动应急预案；若判断可能对水源地水质造成影响，应根据水源地突发环境事件类型选择有直接关系的部门和单位立即成立现场应急指挥部，并将相关信息逐级上报。</w:t>
      </w:r>
    </w:p>
    <w:bookmarkEnd w:id="25"/>
    <w:p>
      <w:pPr>
        <w:pStyle w:val="38"/>
        <w:spacing w:before="120" w:after="120"/>
        <w:ind w:firstLine="562"/>
      </w:pPr>
      <w:r>
        <w:rPr>
          <w:rFonts w:hint="eastAsia"/>
        </w:rPr>
        <w:t>3.1.</w:t>
      </w:r>
      <w:r>
        <w:t>2</w:t>
      </w:r>
      <w:r>
        <w:rPr>
          <w:rFonts w:hint="eastAsia"/>
        </w:rPr>
        <w:t>预警分级</w:t>
      </w:r>
    </w:p>
    <w:p>
      <w:pPr>
        <w:ind w:firstLine="560"/>
      </w:pPr>
      <w:r>
        <w:rPr>
          <w:rFonts w:hint="eastAsia"/>
        </w:rPr>
        <w:t>按照休宁县集中式饮用水水源地突发环境事件严重性、紧急程度和可能影响的范围，</w:t>
      </w:r>
      <w:bookmarkStart w:id="26" w:name="_Hlk39907970"/>
      <w:r>
        <w:rPr>
          <w:rFonts w:hint="eastAsia"/>
        </w:rPr>
        <w:t>突发环境事件的预警分为四级，与本预案“1.4节事件分级”相对应，预警级别由高到低，分为一级、二级、三级和四级警报，颜色依次为红色、橙色、黄色和蓝色。</w:t>
      </w:r>
    </w:p>
    <w:p>
      <w:pPr>
        <w:ind w:firstLine="560"/>
      </w:pPr>
      <w:r>
        <w:rPr>
          <w:rFonts w:hint="eastAsia"/>
        </w:rPr>
        <w:t>1、对情况危急，可能发生特别重大突发环境事件的，或事件已经发生，可能进一步扩大影响范围，造成特别重大危害的或者城市供水中断的事件，视情确定突发环境事件预警级别为一级（红色）。</w:t>
      </w:r>
    </w:p>
    <w:p>
      <w:pPr>
        <w:ind w:firstLine="560"/>
      </w:pPr>
      <w:r>
        <w:rPr>
          <w:rFonts w:hint="eastAsia"/>
        </w:rPr>
        <w:t>2、对情况紧急，可能发生或引发重大突发环境事件的，或事件已经发生，可能进一步扩大影响范围，造成重大危害的或者造成城市局部供水中断的事件，视情确定突发环境事件预警级别为二级（橙色）。</w:t>
      </w:r>
    </w:p>
    <w:p>
      <w:pPr>
        <w:ind w:firstLine="560"/>
      </w:pPr>
      <w:r>
        <w:rPr>
          <w:rFonts w:hint="eastAsia"/>
        </w:rPr>
        <w:t>3、对情况比较紧急，可能发生或引发突发环境事件的，或事件已经发生，可能进一步扩大影响范围，造成一定危害，影响饮用水源地正常供水或造成乡镇集中式饮用水水源地供水中断的事件，视情确定突发环境事件预警级别为三级（黄色）。</w:t>
      </w:r>
    </w:p>
    <w:p>
      <w:pPr>
        <w:ind w:firstLine="560"/>
      </w:pPr>
      <w:r>
        <w:rPr>
          <w:rFonts w:hint="eastAsia"/>
        </w:rPr>
        <w:t>4、对存在重大环境安全隐患，可能发生或引发一般突发环境事件的；或事件已经发生，可能进一步扩大影响范围，但不影响取水，不造成停水仍可作为供水水源的事件，视情确定突发环境事件预警级别为四级（蓝色）。</w:t>
      </w:r>
    </w:p>
    <w:bookmarkEnd w:id="26"/>
    <w:p>
      <w:pPr>
        <w:pStyle w:val="38"/>
        <w:spacing w:before="120" w:after="120"/>
        <w:ind w:firstLine="562"/>
      </w:pPr>
      <w:r>
        <w:rPr>
          <w:rFonts w:hint="eastAsia"/>
        </w:rPr>
        <w:t>3.1.</w:t>
      </w:r>
      <w:r>
        <w:t>3</w:t>
      </w:r>
      <w:r>
        <w:rPr>
          <w:rFonts w:hint="eastAsia"/>
        </w:rPr>
        <w:t>预警启动条件</w:t>
      </w:r>
    </w:p>
    <w:p>
      <w:pPr>
        <w:ind w:firstLine="560"/>
      </w:pPr>
      <w:r>
        <w:rPr>
          <w:rFonts w:hint="eastAsia"/>
        </w:rPr>
        <w:t>1、红色预警启动条件</w:t>
      </w:r>
    </w:p>
    <w:p>
      <w:pPr>
        <w:ind w:firstLine="560"/>
      </w:pPr>
      <w:r>
        <w:rPr>
          <w:rFonts w:hint="eastAsia"/>
        </w:rPr>
        <w:t>（1）通过信息报告发现，在一级、二级保护区内发生突发环境事件。</w:t>
      </w:r>
    </w:p>
    <w:p>
      <w:pPr>
        <w:ind w:firstLine="560"/>
      </w:pPr>
      <w:r>
        <w:rPr>
          <w:rFonts w:hint="eastAsia"/>
        </w:rPr>
        <w:t>（2）通过信息报告发现，在二级保护区上游汇水区域</w:t>
      </w:r>
      <w:r>
        <w:t>2</w:t>
      </w:r>
      <w:r>
        <w:rPr>
          <w:rFonts w:hint="eastAsia"/>
        </w:rPr>
        <w:t>小时流程范围内发生固定源或流动源突发环境事件，或污染物已扩散至距水源保护区上游连接水体的直线距离不足100米的陆域或水域。</w:t>
      </w:r>
    </w:p>
    <w:p>
      <w:pPr>
        <w:ind w:firstLine="560"/>
      </w:pPr>
      <w:r>
        <w:rPr>
          <w:rFonts w:hint="eastAsia"/>
        </w:rPr>
        <w:t>（3）通过信息报告发现，在二级保护区上游汇水区域</w:t>
      </w:r>
      <w:r>
        <w:t>2</w:t>
      </w:r>
      <w:r>
        <w:rPr>
          <w:rFonts w:hint="eastAsia"/>
        </w:rPr>
        <w:t>小时流程范围内发生固定源或流动源突发环境事件，或污染物已扩散至距水源保护区上游连接水体的直线距离不足200米的陆域或水域，经水质监测和信息研判，判断污染物迁移至取水口位置时，相应指标浓度仍会超标的。</w:t>
      </w:r>
    </w:p>
    <w:p>
      <w:pPr>
        <w:ind w:firstLine="560"/>
      </w:pPr>
      <w:r>
        <w:rPr>
          <w:rFonts w:hint="eastAsia"/>
        </w:rPr>
        <w:t>（4）通过监测发现，水源保护区或其上游连接水体理化指标异常。</w:t>
      </w:r>
    </w:p>
    <w:p>
      <w:pPr>
        <w:ind w:firstLine="560"/>
      </w:pPr>
      <w:r>
        <w:rPr>
          <w:rFonts w:hint="eastAsia"/>
        </w:rPr>
        <w:t>①在二级保护区内，出现自动站水质监测指标超标或生物综合毒性异常，经实验室监（复）测确认的；</w:t>
      </w:r>
    </w:p>
    <w:p>
      <w:pPr>
        <w:ind w:firstLine="560"/>
      </w:pPr>
      <w:r>
        <w:rPr>
          <w:rFonts w:hint="eastAsia"/>
        </w:rPr>
        <w:t>②在二级保护区上游</w:t>
      </w:r>
      <w:r>
        <w:t>2</w:t>
      </w:r>
      <w:r>
        <w:rPr>
          <w:rFonts w:hint="eastAsia"/>
        </w:rPr>
        <w:t>小时流程范围内，出现水质监测指标、有毒有害物质或生物综合毒性异常，且污染物浓度持续升高的；</w:t>
      </w:r>
    </w:p>
    <w:p>
      <w:pPr>
        <w:ind w:firstLine="560"/>
      </w:pPr>
      <w:r>
        <w:rPr>
          <w:rFonts w:hint="eastAsia"/>
        </w:rPr>
        <w:t>③在二级保护区上游</w:t>
      </w:r>
      <w:r>
        <w:t>2</w:t>
      </w:r>
      <w:r>
        <w:rPr>
          <w:rFonts w:hint="eastAsia"/>
        </w:rPr>
        <w:t>小时流程范围内，出现水质监测指标、有毒有害物质或生物综合毒性异常的；</w:t>
      </w:r>
    </w:p>
    <w:p>
      <w:pPr>
        <w:ind w:firstLine="560"/>
      </w:pPr>
      <w:r>
        <w:rPr>
          <w:rFonts w:hint="eastAsia"/>
        </w:rPr>
        <w:t>（5）通过监测发现，水源保护区或其上游连接水体感官性状异常，即水体出现异常颜色或气味的。</w:t>
      </w:r>
    </w:p>
    <w:p>
      <w:pPr>
        <w:ind w:firstLine="560"/>
      </w:pPr>
      <w:r>
        <w:rPr>
          <w:rFonts w:hint="eastAsia"/>
        </w:rPr>
        <w:t>（6）通过监测发现，水源保护区或其上游连接水体生态指标异常，即水面出现大面积死鱼或生物综合毒性异常并经实验室监测后确认的。</w:t>
      </w:r>
    </w:p>
    <w:p>
      <w:pPr>
        <w:ind w:firstLine="560"/>
      </w:pPr>
      <w:r>
        <w:rPr>
          <w:rFonts w:hint="eastAsia"/>
        </w:rPr>
        <w:t>2、橙色预警启动条件</w:t>
      </w:r>
    </w:p>
    <w:p>
      <w:pPr>
        <w:ind w:firstLine="560"/>
      </w:pPr>
      <w:r>
        <w:rPr>
          <w:rFonts w:hint="eastAsia"/>
        </w:rPr>
        <w:t>（1）通过信息报告发现，在准保护区内发生突发环境事件。</w:t>
      </w:r>
    </w:p>
    <w:p>
      <w:pPr>
        <w:ind w:firstLine="560"/>
      </w:pPr>
      <w:r>
        <w:rPr>
          <w:rFonts w:hint="eastAsia"/>
        </w:rPr>
        <w:t>（2）通过信息报告发现，在二级保护区上游汇水区域4小时流程范围内发生固定源或流动源突发环境事件，或污染物已扩散至距水源保护区上游连接水体的直线距离不足250米的陆域或水域。</w:t>
      </w:r>
    </w:p>
    <w:p>
      <w:pPr>
        <w:ind w:firstLine="560"/>
      </w:pPr>
      <w:r>
        <w:rPr>
          <w:rFonts w:hint="eastAsia"/>
        </w:rPr>
        <w:t>（3）通过信息报告发现，在二级保护区上游汇水区域</w:t>
      </w:r>
      <w:r>
        <w:t>4</w:t>
      </w:r>
      <w:r>
        <w:rPr>
          <w:rFonts w:hint="eastAsia"/>
        </w:rPr>
        <w:t>小时流程范围内发生固定源或流动源突发环境事件，或污染物已扩散至距水源保护区上游连接水体的直线距离不足500米的陆域或水域，经水质监测和信息研判，判断污染物迁移至取水口位置时，相应指标浓度不会超标的。</w:t>
      </w:r>
    </w:p>
    <w:p>
      <w:pPr>
        <w:ind w:firstLine="560"/>
      </w:pPr>
      <w:r>
        <w:rPr>
          <w:rFonts w:hint="eastAsia"/>
        </w:rPr>
        <w:t>（4）通过监测发现，水源保护区及其上游连接水体部分理化指标异常。</w:t>
      </w:r>
    </w:p>
    <w:p>
      <w:pPr>
        <w:ind w:firstLine="560"/>
      </w:pPr>
      <w:r>
        <w:rPr>
          <w:rFonts w:hint="eastAsia"/>
        </w:rPr>
        <w:t>①在准保护区内，出现自动站水质监测指标超标或生物综合毒性异常，经实验室监（复）测确认的。</w:t>
      </w:r>
    </w:p>
    <w:p>
      <w:pPr>
        <w:ind w:firstLine="560"/>
      </w:pPr>
      <w:r>
        <w:rPr>
          <w:rFonts w:hint="eastAsia"/>
        </w:rPr>
        <w:t>②在二级保护区上游</w:t>
      </w:r>
      <w:r>
        <w:t>4</w:t>
      </w:r>
      <w:r>
        <w:rPr>
          <w:rFonts w:hint="eastAsia"/>
        </w:rPr>
        <w:t>小时流程范围内，出现水质监测指标、有毒有害物质或生物综合毒性异常，但污染物浓度无升高趋势。</w:t>
      </w:r>
    </w:p>
    <w:p>
      <w:pPr>
        <w:ind w:firstLine="560"/>
      </w:pPr>
      <w:r>
        <w:rPr>
          <w:rFonts w:hint="eastAsia"/>
        </w:rPr>
        <w:t>③在二级保护区上游</w:t>
      </w:r>
      <w:r>
        <w:t>4</w:t>
      </w:r>
      <w:r>
        <w:rPr>
          <w:rFonts w:hint="eastAsia"/>
        </w:rPr>
        <w:t>小时流程范围内，出现水质监测指标、有毒有害物质或生物综合毒性异常的。</w:t>
      </w:r>
    </w:p>
    <w:p>
      <w:pPr>
        <w:ind w:firstLine="560"/>
      </w:pPr>
      <w:r>
        <w:rPr>
          <w:rFonts w:hint="eastAsia"/>
        </w:rPr>
        <w:t>（5）通过监测发现，水源保护区或其上游连接水体感官性状有轻微异常，即部分区域水体出现颜色异常或异味的。</w:t>
      </w:r>
    </w:p>
    <w:p>
      <w:pPr>
        <w:ind w:firstLine="560"/>
      </w:pPr>
      <w:r>
        <w:rPr>
          <w:rFonts w:hint="eastAsia"/>
        </w:rPr>
        <w:t>（6）通过监测发现，水源保护区或其上游连接水体部分生态指标异常，即水面出现少量死鱼。</w:t>
      </w:r>
    </w:p>
    <w:p>
      <w:pPr>
        <w:ind w:firstLine="560"/>
      </w:pPr>
      <w:r>
        <w:t>3</w:t>
      </w:r>
      <w:r>
        <w:rPr>
          <w:rFonts w:hint="eastAsia"/>
        </w:rPr>
        <w:t>、黄色预警启动条件</w:t>
      </w:r>
    </w:p>
    <w:p>
      <w:pPr>
        <w:ind w:firstLine="560"/>
      </w:pPr>
      <w:r>
        <w:rPr>
          <w:rFonts w:hint="eastAsia"/>
        </w:rPr>
        <w:t>（1）通过信息报告发现，在保护区上游汇水区域</w:t>
      </w:r>
      <w:r>
        <w:t>8</w:t>
      </w:r>
      <w:r>
        <w:rPr>
          <w:rFonts w:hint="eastAsia"/>
        </w:rPr>
        <w:t>小时流程范围内发生点源、固定源或流动源突发环境事件，经水质监测和信息研判，判断污染物迁移至取水口位置时，相应指标浓度可能会超标的；</w:t>
      </w:r>
    </w:p>
    <w:p>
      <w:pPr>
        <w:ind w:firstLine="560"/>
      </w:pPr>
      <w:r>
        <w:rPr>
          <w:rFonts w:hint="eastAsia"/>
        </w:rPr>
        <w:t>（2）通过监测发现，在保护区范围外连接水体出现水体理化指标异常情况，包括：</w:t>
      </w:r>
    </w:p>
    <w:p>
      <w:pPr>
        <w:ind w:firstLine="560"/>
      </w:pPr>
      <w:r>
        <w:rPr>
          <w:rFonts w:hint="eastAsia"/>
        </w:rPr>
        <w:t>①在二级保护区上游</w:t>
      </w:r>
      <w:r>
        <w:t>8</w:t>
      </w:r>
      <w:r>
        <w:rPr>
          <w:rFonts w:hint="eastAsia"/>
        </w:rPr>
        <w:t>小时流程范围内，出现水质监测指标、有毒有害物质或生物综合毒性异常，但污染物浓度无升高趋势。</w:t>
      </w:r>
    </w:p>
    <w:p>
      <w:pPr>
        <w:ind w:firstLine="560"/>
      </w:pPr>
      <w:r>
        <w:rPr>
          <w:rFonts w:hint="eastAsia"/>
        </w:rPr>
        <w:t>②在二级保护区上游</w:t>
      </w:r>
      <w:r>
        <w:t>8</w:t>
      </w:r>
      <w:r>
        <w:rPr>
          <w:rFonts w:hint="eastAsia"/>
        </w:rPr>
        <w:t>小时流程范围内，出现水质监测指标、有毒有害物质或生物综合毒性异常的。</w:t>
      </w:r>
    </w:p>
    <w:p>
      <w:pPr>
        <w:ind w:firstLine="560"/>
      </w:pPr>
      <w:r>
        <w:rPr>
          <w:rFonts w:hint="eastAsia"/>
        </w:rPr>
        <w:t>（3）</w:t>
      </w:r>
      <w:bookmarkStart w:id="27" w:name="_Hlk117589684"/>
      <w:r>
        <w:rPr>
          <w:rFonts w:hint="eastAsia"/>
        </w:rPr>
        <w:t>通过监测发现，水源保护区或其上游连接水体</w:t>
      </w:r>
      <w:bookmarkEnd w:id="27"/>
      <w:r>
        <w:rPr>
          <w:rFonts w:hint="eastAsia"/>
        </w:rPr>
        <w:t>感官性状有轻微异常，部分区域水体出现轻微的异常颜色或轻微气味。</w:t>
      </w:r>
    </w:p>
    <w:p>
      <w:pPr>
        <w:ind w:firstLine="560"/>
      </w:pPr>
      <w:r>
        <w:t>4</w:t>
      </w:r>
      <w:r>
        <w:rPr>
          <w:rFonts w:hint="eastAsia"/>
        </w:rPr>
        <w:t>、蓝色预警启动条件</w:t>
      </w:r>
    </w:p>
    <w:p>
      <w:pPr>
        <w:ind w:firstLine="560"/>
      </w:pPr>
      <w:r>
        <w:rPr>
          <w:rFonts w:hint="eastAsia"/>
        </w:rPr>
        <w:t>（1）通过信息报告发现，在保护区上游汇水区域</w:t>
      </w:r>
      <w:r>
        <w:t>12</w:t>
      </w:r>
      <w:r>
        <w:rPr>
          <w:rFonts w:hint="eastAsia"/>
        </w:rPr>
        <w:t>小时流程范围内发生点源、固定源或流动源突发环境事件，经水质监测和信息研判，判断污染物迁移至取水口位置时，相应指标浓度可能会超标的；</w:t>
      </w:r>
    </w:p>
    <w:p>
      <w:pPr>
        <w:ind w:firstLine="560"/>
      </w:pPr>
      <w:r>
        <w:rPr>
          <w:rFonts w:hint="eastAsia"/>
        </w:rPr>
        <w:t>（2）通过监测发现，在保护区范围外连接水体出现水体理化指标异常情况，包括：</w:t>
      </w:r>
    </w:p>
    <w:p>
      <w:pPr>
        <w:ind w:firstLine="560"/>
      </w:pPr>
      <w:r>
        <w:rPr>
          <w:rFonts w:hint="eastAsia"/>
        </w:rPr>
        <w:t>①在二级保护区上游</w:t>
      </w:r>
      <w:r>
        <w:t>12</w:t>
      </w:r>
      <w:r>
        <w:rPr>
          <w:rFonts w:hint="eastAsia"/>
        </w:rPr>
        <w:t>小时流程范围内，出现水质监测指标、有毒有害物质或生物综合毒性异常，但污染物浓度无升高趋势。</w:t>
      </w:r>
    </w:p>
    <w:p>
      <w:pPr>
        <w:ind w:firstLine="560"/>
      </w:pPr>
      <w:r>
        <w:rPr>
          <w:rFonts w:hint="eastAsia"/>
        </w:rPr>
        <w:t>②在二级保护区上游</w:t>
      </w:r>
      <w:r>
        <w:t>12</w:t>
      </w:r>
      <w:r>
        <w:rPr>
          <w:rFonts w:hint="eastAsia"/>
        </w:rPr>
        <w:t>小时流程范围内，出现水质监测指标、有毒有害物质或生物综合毒性异常的。</w:t>
      </w:r>
    </w:p>
    <w:p>
      <w:pPr>
        <w:ind w:firstLine="560"/>
      </w:pPr>
      <w:r>
        <w:rPr>
          <w:rFonts w:hint="eastAsia"/>
        </w:rPr>
        <w:t>（3）通过监测发现，水源保护区或其上游连接水体感官性状有轻微异常，小部分区域水体出现轻微的异常颜色或轻微气味。</w:t>
      </w:r>
    </w:p>
    <w:p>
      <w:pPr>
        <w:pStyle w:val="38"/>
        <w:spacing w:before="120" w:after="120"/>
        <w:ind w:firstLine="562"/>
      </w:pPr>
      <w:r>
        <w:rPr>
          <w:rFonts w:hint="eastAsia"/>
        </w:rPr>
        <w:t>3.1.</w:t>
      </w:r>
      <w:r>
        <w:t>4</w:t>
      </w:r>
      <w:r>
        <w:rPr>
          <w:rFonts w:hint="eastAsia"/>
        </w:rPr>
        <w:t>发布预警和预警级别调整</w:t>
      </w:r>
    </w:p>
    <w:p>
      <w:pPr>
        <w:ind w:firstLine="560"/>
      </w:pPr>
      <w:r>
        <w:rPr>
          <w:rFonts w:hint="eastAsia"/>
        </w:rPr>
        <w:t>由现场应急指挥部负责对事件信息进行跟踪收集和研判，并根据达到的预警级别条件发布相应的预警。预警信息发布后，可根据事态发展、采取措施的效果，适时调整预警级别并再次发布。预警发布的对象，应主要针对组织实施预警行动和应急处置行动的部门和单位。</w:t>
      </w:r>
    </w:p>
    <w:p>
      <w:pPr>
        <w:ind w:firstLine="560"/>
      </w:pPr>
      <w:r>
        <w:rPr>
          <w:rFonts w:hint="eastAsia"/>
        </w:rPr>
        <w:t>1、预警发布内容</w:t>
      </w:r>
    </w:p>
    <w:p>
      <w:pPr>
        <w:ind w:firstLine="560"/>
      </w:pPr>
      <w:r>
        <w:rPr>
          <w:rFonts w:hint="eastAsia"/>
        </w:rPr>
        <w:t>预警信息发布内容主要包括事件类别、预警级别、可能影响范围、警示事项、应当采取的措施和发布机关等。</w:t>
      </w:r>
    </w:p>
    <w:p>
      <w:pPr>
        <w:ind w:firstLine="560"/>
      </w:pPr>
      <w:r>
        <w:rPr>
          <w:rFonts w:hint="eastAsia"/>
        </w:rPr>
        <w:t>2、预警发布渠道</w:t>
      </w:r>
    </w:p>
    <w:p>
      <w:pPr>
        <w:ind w:firstLine="560"/>
      </w:pPr>
      <w:r>
        <w:rPr>
          <w:rFonts w:hint="eastAsia"/>
        </w:rPr>
        <w:t>预警信息发布通过传真、广播、电视、报纸、互联网、手机短信等渠道向社会公众发布。</w:t>
      </w:r>
    </w:p>
    <w:p>
      <w:pPr>
        <w:ind w:firstLine="560"/>
      </w:pPr>
      <w:r>
        <w:t>3</w:t>
      </w:r>
      <w:r>
        <w:rPr>
          <w:rFonts w:hint="eastAsia"/>
        </w:rPr>
        <w:t>、预警发布</w:t>
      </w:r>
    </w:p>
    <w:p>
      <w:pPr>
        <w:ind w:firstLine="560"/>
      </w:pPr>
      <w:r>
        <w:rPr>
          <w:rFonts w:hint="eastAsia"/>
        </w:rPr>
        <w:t>（1）研判</w:t>
      </w:r>
    </w:p>
    <w:p>
      <w:pPr>
        <w:ind w:firstLine="560"/>
      </w:pPr>
      <w:r>
        <w:rPr>
          <w:rFonts w:hint="eastAsia"/>
        </w:rPr>
        <w:t>由县水源地应急指挥部协调办公室牵头单位县生态环境分局应急小组成员及应急专家组进行研判，预估可能的影响范围和危害程度，并向县水源地应急指挥部提出预警级别建议。</w:t>
      </w:r>
    </w:p>
    <w:p>
      <w:pPr>
        <w:ind w:firstLine="560"/>
      </w:pPr>
      <w:r>
        <w:rPr>
          <w:rFonts w:hint="eastAsia"/>
        </w:rPr>
        <w:t>（2）预警发布</w:t>
      </w:r>
    </w:p>
    <w:p>
      <w:pPr>
        <w:ind w:firstLine="560"/>
      </w:pPr>
      <w:r>
        <w:rPr>
          <w:rFonts w:hint="eastAsia"/>
        </w:rPr>
        <w:t>一般（Ⅳ级）预警信息经核实后，由县政府发布预警；较大（Ⅲ级）、重大（Ⅱ级）、特别重大（Ⅰ级）预警信息经初步确认后，及时报告县政府，并按照规定上报上级政府，较大（Ⅲ级）预警由市政府负责发布，重大（Ⅱ级）和特别重大（Ⅰ级）由省政府发布。</w:t>
      </w:r>
    </w:p>
    <w:p>
      <w:pPr>
        <w:ind w:firstLine="560"/>
      </w:pPr>
      <w:r>
        <w:rPr>
          <w:rFonts w:hint="eastAsia"/>
        </w:rPr>
        <w:t>预警应及时通过国家突发事件预警信息发布平台（http://www.12379.cn/）、广播、电视、网络、报刊等媒体和微信、博客、手机短信等方式向受影响区域公众发布消息。</w:t>
      </w:r>
    </w:p>
    <w:p>
      <w:pPr>
        <w:ind w:firstLine="560"/>
      </w:pPr>
      <w:r>
        <w:t>4</w:t>
      </w:r>
      <w:r>
        <w:rPr>
          <w:rFonts w:hint="eastAsia"/>
        </w:rPr>
        <w:t>、预警发布对象</w:t>
      </w:r>
    </w:p>
    <w:p>
      <w:pPr>
        <w:ind w:firstLine="560"/>
      </w:pPr>
      <w:r>
        <w:rPr>
          <w:rFonts w:hint="eastAsia"/>
        </w:rPr>
        <w:t>主要针对组织实施预警行动和应急处置行动的部门和单位。</w:t>
      </w:r>
    </w:p>
    <w:p>
      <w:pPr>
        <w:ind w:firstLine="560"/>
      </w:pPr>
      <w:r>
        <w:t>5</w:t>
      </w:r>
      <w:r>
        <w:rPr>
          <w:rFonts w:hint="eastAsia"/>
        </w:rPr>
        <w:t>、预警级别调整</w:t>
      </w:r>
    </w:p>
    <w:p>
      <w:pPr>
        <w:ind w:firstLine="560"/>
      </w:pPr>
      <w:r>
        <w:rPr>
          <w:rFonts w:hint="eastAsia"/>
        </w:rPr>
        <w:t>预警信息发布后，可根据事态发展、采取措施的效果，适时调整预警级别，并将调整结果及时通报各相关单位。</w:t>
      </w:r>
    </w:p>
    <w:p>
      <w:pPr>
        <w:pStyle w:val="38"/>
        <w:spacing w:before="120" w:after="120"/>
        <w:ind w:firstLine="562"/>
      </w:pPr>
      <w:r>
        <w:rPr>
          <w:rFonts w:hint="eastAsia"/>
        </w:rPr>
        <w:t>3.1.</w:t>
      </w:r>
      <w:r>
        <w:t>5</w:t>
      </w:r>
      <w:r>
        <w:rPr>
          <w:rFonts w:hint="eastAsia"/>
        </w:rPr>
        <w:t>预警行动</w:t>
      </w:r>
    </w:p>
    <w:p>
      <w:pPr>
        <w:ind w:firstLine="560"/>
      </w:pPr>
      <w:bookmarkStart w:id="28" w:name="_Hlk116162893"/>
      <w:r>
        <w:rPr>
          <w:rFonts w:hint="eastAsia"/>
        </w:rPr>
        <w:t>发布预警、进入预警状态后，县政府、县水源地应急指挥部必须立即组织有关工作人员和技术支撑队伍赶赴现场，开展应急响应工作，实施预警行动。行动包括：</w:t>
      </w:r>
    </w:p>
    <w:bookmarkEnd w:id="28"/>
    <w:p>
      <w:pPr>
        <w:ind w:firstLine="560"/>
      </w:pPr>
      <w:bookmarkStart w:id="29" w:name="_Hlk116162922"/>
      <w:r>
        <w:rPr>
          <w:rFonts w:hint="eastAsia"/>
        </w:rPr>
        <w:t>1、下达启动水源地应急预案的命令；</w:t>
      </w:r>
    </w:p>
    <w:p>
      <w:pPr>
        <w:ind w:firstLine="560"/>
      </w:pPr>
      <w:r>
        <w:rPr>
          <w:rFonts w:hint="eastAsia"/>
        </w:rPr>
        <w:t>2、通知现场应急指挥部中的有关单位和人员做好应急准备，进入待命状态，必要时到达现场开展相关工作；</w:t>
      </w:r>
    </w:p>
    <w:p>
      <w:pPr>
        <w:ind w:firstLine="560"/>
      </w:pPr>
      <w:r>
        <w:rPr>
          <w:rFonts w:hint="eastAsia"/>
        </w:rPr>
        <w:t>3、加强信息监控，核实突发环境事件污染来源、进入水体的污染物种类和总量、污染扩散范围等信息；</w:t>
      </w:r>
    </w:p>
    <w:p>
      <w:pPr>
        <w:ind w:firstLine="560"/>
      </w:pPr>
      <w:r>
        <w:t>4</w:t>
      </w:r>
      <w:r>
        <w:rPr>
          <w:rFonts w:hint="eastAsia"/>
        </w:rPr>
        <w:t>、指令应急救援队伍进入应急状态，生态环境监察部门立即着手开展检测、调查和应急准备工作，随时掌握并报告事态进展情况；密切注意水文、水质和气象条件的变化对饮用水水源地水质的影响；</w:t>
      </w:r>
    </w:p>
    <w:p>
      <w:pPr>
        <w:ind w:firstLine="560"/>
      </w:pPr>
      <w:r>
        <w:t>5</w:t>
      </w:r>
      <w:r>
        <w:rPr>
          <w:rFonts w:hint="eastAsia"/>
        </w:rPr>
        <w:t>、通知水源地对应的供水单位进入待命状态，做好停止取水、深度处理、低压供水或启动备用水源等准备；</w:t>
      </w:r>
    </w:p>
    <w:p>
      <w:pPr>
        <w:ind w:firstLine="560"/>
      </w:pPr>
      <w:r>
        <w:t>6</w:t>
      </w:r>
      <w:r>
        <w:rPr>
          <w:rFonts w:hint="eastAsia"/>
        </w:rPr>
        <w:t>、指令启动工程预警调度体系，做好备用水源地启动工作准备；</w:t>
      </w:r>
    </w:p>
    <w:p>
      <w:pPr>
        <w:ind w:firstLine="560"/>
      </w:pPr>
      <w:r>
        <w:t>7</w:t>
      </w:r>
      <w:r>
        <w:rPr>
          <w:rFonts w:hint="eastAsia"/>
        </w:rPr>
        <w:t>、指挥调配环境应急处置所需物资和设备，做好应急处置的保障工作；</w:t>
      </w:r>
    </w:p>
    <w:p>
      <w:pPr>
        <w:ind w:firstLine="560"/>
      </w:pPr>
      <w:r>
        <w:t>8</w:t>
      </w:r>
      <w:r>
        <w:rPr>
          <w:rFonts w:hint="eastAsia"/>
        </w:rPr>
        <w:t>、转移、撤离或疏散可能受到危害的人员和重要财产，并进行妥善安置；</w:t>
      </w:r>
    </w:p>
    <w:p>
      <w:pPr>
        <w:ind w:firstLine="560"/>
      </w:pPr>
      <w:r>
        <w:t>9</w:t>
      </w:r>
      <w:r>
        <w:rPr>
          <w:rFonts w:hint="eastAsia"/>
        </w:rPr>
        <w:t>、针对突发事件可能造成的危害，封闭、隔离或限制使用有关场所，终止可能导致危害扩大的行为和活动；</w:t>
      </w:r>
    </w:p>
    <w:p>
      <w:pPr>
        <w:ind w:firstLine="560"/>
      </w:pPr>
      <w:r>
        <w:t>10</w:t>
      </w:r>
      <w:r>
        <w:rPr>
          <w:rFonts w:hint="eastAsia"/>
        </w:rPr>
        <w:t>、定时向社会发布与公众有关的饮用水水源地突发环境事件预测信息和分析评估结果，并对相关信息的报道工作进行管理；</w:t>
      </w:r>
    </w:p>
    <w:p>
      <w:pPr>
        <w:ind w:firstLine="560"/>
      </w:pPr>
      <w:r>
        <w:rPr>
          <w:rFonts w:hint="eastAsia"/>
        </w:rPr>
        <w:t>1</w:t>
      </w:r>
      <w:r>
        <w:t>1</w:t>
      </w:r>
      <w:r>
        <w:rPr>
          <w:rFonts w:hint="eastAsia"/>
        </w:rPr>
        <w:t>、加强舆情监测、引导和应对工作</w:t>
      </w:r>
      <w:bookmarkEnd w:id="29"/>
      <w:r>
        <w:rPr>
          <w:rFonts w:hint="eastAsia"/>
        </w:rPr>
        <w:t>。</w:t>
      </w:r>
    </w:p>
    <w:p>
      <w:pPr>
        <w:pStyle w:val="38"/>
        <w:spacing w:before="120" w:after="120"/>
        <w:ind w:firstLine="562"/>
      </w:pPr>
      <w:r>
        <w:rPr>
          <w:rFonts w:hint="eastAsia"/>
        </w:rPr>
        <w:t>3.1.</w:t>
      </w:r>
      <w:r>
        <w:t>6</w:t>
      </w:r>
      <w:r>
        <w:rPr>
          <w:rFonts w:hint="eastAsia"/>
        </w:rPr>
        <w:t>预警解除</w:t>
      </w:r>
    </w:p>
    <w:p>
      <w:pPr>
        <w:ind w:firstLine="560"/>
      </w:pPr>
      <w:r>
        <w:rPr>
          <w:rFonts w:hint="eastAsia"/>
        </w:rPr>
        <w:t>预警信息发布后，应急指挥部应根据事态发展情况和采取措施的效果适时调整预警状态。当判断危险已经消除时，应急指挥部宣布解除预警，终止应急响应措施。</w:t>
      </w:r>
    </w:p>
    <w:p>
      <w:pPr>
        <w:pStyle w:val="37"/>
      </w:pPr>
      <w:bookmarkStart w:id="30" w:name="_Toc153869658"/>
      <w:r>
        <w:rPr>
          <w:rFonts w:hint="eastAsia"/>
        </w:rPr>
        <w:t>3.2信息报告与通报</w:t>
      </w:r>
      <w:bookmarkEnd w:id="30"/>
    </w:p>
    <w:p>
      <w:pPr>
        <w:pStyle w:val="38"/>
        <w:spacing w:before="120" w:after="120"/>
        <w:ind w:firstLine="562"/>
      </w:pPr>
      <w:r>
        <w:rPr>
          <w:rFonts w:hint="eastAsia"/>
        </w:rPr>
        <w:t>3.</w:t>
      </w:r>
      <w:r>
        <w:t>2</w:t>
      </w:r>
      <w:r>
        <w:rPr>
          <w:rFonts w:hint="eastAsia"/>
        </w:rPr>
        <w:t>.1信息接报</w:t>
      </w:r>
    </w:p>
    <w:p>
      <w:pPr>
        <w:ind w:firstLine="560"/>
      </w:pPr>
      <w:r>
        <w:rPr>
          <w:rFonts w:hint="eastAsia"/>
        </w:rPr>
        <w:t>发现集中式饮用水源地突发环境事件后，事发责任单位、责任人或知情人应第一时间向本级人民政府应急组织指挥机构报告，或向县生态环境部门报告，或通过拨打“110”“119”“12345”“0</w:t>
      </w:r>
      <w:r>
        <w:t>559-7519770</w:t>
      </w:r>
      <w:r>
        <w:rPr>
          <w:rFonts w:hint="eastAsia"/>
        </w:rPr>
        <w:t>”等公共举报热线电话、网络等形式向休宁县人民政府及其有关行政主管部门报告。</w:t>
      </w:r>
    </w:p>
    <w:p>
      <w:pPr>
        <w:ind w:firstLine="560"/>
      </w:pPr>
      <w:r>
        <w:rPr>
          <w:rFonts w:hint="eastAsia"/>
        </w:rPr>
        <w:t>休宁县人民政府及相关单位有责任接收来自各方面的有关集中式饮用水源地突发环境事件信息，在接到突发环境事件的报告或信息，应在可能的情况下认真记录以下内容：</w:t>
      </w:r>
    </w:p>
    <w:p>
      <w:pPr>
        <w:ind w:firstLine="560"/>
      </w:pPr>
      <w:r>
        <w:rPr>
          <w:rFonts w:hint="eastAsia"/>
        </w:rPr>
        <w:t>（1）事故发生的时间和地点；</w:t>
      </w:r>
    </w:p>
    <w:p>
      <w:pPr>
        <w:ind w:firstLine="560"/>
      </w:pPr>
      <w:r>
        <w:rPr>
          <w:rFonts w:hint="eastAsia"/>
        </w:rPr>
        <w:t>（2）事故情况：名称、类型等（暂时状态、连续状态）；</w:t>
      </w:r>
    </w:p>
    <w:p>
      <w:pPr>
        <w:ind w:firstLine="560"/>
      </w:pPr>
      <w:r>
        <w:rPr>
          <w:rFonts w:hint="eastAsia"/>
        </w:rPr>
        <w:t>（</w:t>
      </w:r>
      <w:r>
        <w:t>3</w:t>
      </w:r>
      <w:r>
        <w:rPr>
          <w:rFonts w:hint="eastAsia"/>
        </w:rPr>
        <w:t>）事故污染物的种类、泄漏量、现场污染情况、污染持续的时间；</w:t>
      </w:r>
    </w:p>
    <w:p>
      <w:pPr>
        <w:ind w:firstLine="560"/>
      </w:pPr>
      <w:r>
        <w:rPr>
          <w:rFonts w:hint="eastAsia"/>
        </w:rPr>
        <w:t>（</w:t>
      </w:r>
      <w:r>
        <w:t>4</w:t>
      </w:r>
      <w:r>
        <w:rPr>
          <w:rFonts w:hint="eastAsia"/>
        </w:rPr>
        <w:t>）事故简要经过、伤亡人数、直接经济损失的初步估算；</w:t>
      </w:r>
    </w:p>
    <w:p>
      <w:pPr>
        <w:ind w:firstLine="560"/>
      </w:pPr>
      <w:r>
        <w:rPr>
          <w:rFonts w:hint="eastAsia"/>
        </w:rPr>
        <w:t>（</w:t>
      </w:r>
      <w:r>
        <w:t>5</w:t>
      </w:r>
      <w:r>
        <w:rPr>
          <w:rFonts w:hint="eastAsia"/>
        </w:rPr>
        <w:t>）事故原因、性质的初步判定；</w:t>
      </w:r>
    </w:p>
    <w:p>
      <w:pPr>
        <w:ind w:firstLine="560"/>
      </w:pPr>
      <w:r>
        <w:rPr>
          <w:rFonts w:hint="eastAsia"/>
        </w:rPr>
        <w:t>（</w:t>
      </w:r>
      <w:r>
        <w:t>6</w:t>
      </w:r>
      <w:r>
        <w:rPr>
          <w:rFonts w:hint="eastAsia"/>
        </w:rPr>
        <w:t>）事故抢救处理的情况和采取的措施；</w:t>
      </w:r>
    </w:p>
    <w:p>
      <w:pPr>
        <w:ind w:firstLine="560"/>
      </w:pPr>
      <w:r>
        <w:rPr>
          <w:rFonts w:hint="eastAsia"/>
        </w:rPr>
        <w:t>（</w:t>
      </w:r>
      <w:r>
        <w:t>7</w:t>
      </w:r>
      <w:r>
        <w:rPr>
          <w:rFonts w:hint="eastAsia"/>
        </w:rPr>
        <w:t>）需要有关部门和单位协助事故抢救和处理的相关事宜；</w:t>
      </w:r>
    </w:p>
    <w:p>
      <w:pPr>
        <w:ind w:firstLine="560"/>
      </w:pPr>
      <w:r>
        <w:rPr>
          <w:rFonts w:hint="eastAsia"/>
        </w:rPr>
        <w:t>（</w:t>
      </w:r>
      <w:r>
        <w:t>8</w:t>
      </w:r>
      <w:r>
        <w:rPr>
          <w:rFonts w:hint="eastAsia"/>
        </w:rPr>
        <w:t>）事故的报告单位、报告人姓名和电话、报告时间。</w:t>
      </w:r>
    </w:p>
    <w:p>
      <w:pPr>
        <w:ind w:firstLine="560"/>
      </w:pPr>
      <w:r>
        <w:rPr>
          <w:rFonts w:hint="eastAsia"/>
        </w:rPr>
        <w:t>休宁县人民政府及接报责任单位在接报后，应在1小时内组织对事件信息进行核查，核实后将有关书面报告材料或电话记录内容及时复印向休宁县水源地应急指挥部报告。报告程序应按照以下程序：</w:t>
      </w:r>
    </w:p>
    <w:p>
      <w:pPr>
        <w:ind w:firstLine="560"/>
      </w:pPr>
      <w:r>
        <w:rPr>
          <w:rFonts w:hint="eastAsia"/>
        </w:rPr>
        <w:t>（1）发现已经造成或可能造成水源地污染的有关人员和责任单位，应按照有关规定立即向休宁县人民政府应急组织指挥部及环境保护等部门报告。</w:t>
      </w:r>
    </w:p>
    <w:p>
      <w:pPr>
        <w:ind w:firstLine="560"/>
      </w:pPr>
      <w:r>
        <w:rPr>
          <w:rFonts w:hint="eastAsia"/>
        </w:rPr>
        <w:t>（2）休宁县人民政府有关部门在发现或得知水源地突发环境事件信息后，应立即进行核实，了解有关情况。经过核实后，第一时间向县水源地应急组织指挥部、休宁县人民政府和上级人民政府主管部门报告。</w:t>
      </w:r>
    </w:p>
    <w:p>
      <w:pPr>
        <w:ind w:firstLine="560"/>
      </w:pPr>
      <w:r>
        <w:rPr>
          <w:rFonts w:hint="eastAsia"/>
        </w:rPr>
        <w:t>（3）上级人民政府主管部门先于下级人民政府主管部门获悉水源地突发环境事件信息的，可要求下级人民政府主管部门核实并报告相应信息。</w:t>
      </w:r>
    </w:p>
    <w:p>
      <w:pPr>
        <w:ind w:firstLine="560"/>
      </w:pPr>
      <w:r>
        <w:rPr>
          <w:rFonts w:hint="eastAsia"/>
        </w:rPr>
        <w:t>（4）特殊情况下，若遇到敏感事件或发生在重点地区、特殊时期，或可能演化为重大、特别重大突发环境事件的信息，有关责任单位和部门应立即向休宁县人民政府应急组织指挥机构报告。</w:t>
      </w:r>
    </w:p>
    <w:p>
      <w:pPr>
        <w:pStyle w:val="38"/>
        <w:spacing w:before="120" w:after="120"/>
        <w:ind w:firstLine="562"/>
      </w:pPr>
      <w:r>
        <w:rPr>
          <w:rFonts w:hint="eastAsia"/>
        </w:rPr>
        <w:t>3.</w:t>
      </w:r>
      <w:r>
        <w:t>2</w:t>
      </w:r>
      <w:r>
        <w:rPr>
          <w:rFonts w:hint="eastAsia"/>
        </w:rPr>
        <w:t>.2内部信息报送</w:t>
      </w:r>
    </w:p>
    <w:p>
      <w:pPr>
        <w:ind w:firstLine="560"/>
      </w:pPr>
      <w:r>
        <w:rPr>
          <w:rFonts w:hint="eastAsia"/>
        </w:rPr>
        <w:t>休宁县人民政府、生态环境分局以及政府其他职能部门接到突发环境事件的报告及时将相关信息上报县水源地应急指挥部有关部门，保证应急处置信息的双向畅通。突发环境事件应急处理的有关信息要按照规定范围进行传播和交流。突发环境事件应急处置的有关信息主要包括事故发生后形成的信息和事故应急处置过程中随着应急处理的进展而发生变化的信息。</w:t>
      </w:r>
    </w:p>
    <w:p>
      <w:pPr>
        <w:ind w:firstLine="560"/>
      </w:pPr>
      <w:r>
        <w:rPr>
          <w:rFonts w:hint="eastAsia"/>
        </w:rPr>
        <w:t xml:space="preserve">由于黄山市屯溪区一水厂饮用水水源地、黄山市中心城区二水厂饮用水水源地涉及到用水单位管辖权的问题，在发现集中式饮用水源地突发环境事件后，休宁县人民政府或休宁县住建局应及时向黄山市住建局通报。 </w:t>
      </w:r>
    </w:p>
    <w:p>
      <w:pPr>
        <w:pStyle w:val="38"/>
        <w:spacing w:before="120" w:after="120"/>
        <w:ind w:firstLine="562"/>
      </w:pPr>
      <w:r>
        <w:rPr>
          <w:rFonts w:hint="eastAsia"/>
        </w:rPr>
        <w:t>3.</w:t>
      </w:r>
      <w:r>
        <w:t>2</w:t>
      </w:r>
      <w:r>
        <w:rPr>
          <w:rFonts w:hint="eastAsia"/>
        </w:rPr>
        <w:t>.3信息上报</w:t>
      </w:r>
    </w:p>
    <w:p>
      <w:pPr>
        <w:ind w:firstLine="560"/>
      </w:pPr>
      <w:r>
        <w:rPr>
          <w:rFonts w:hint="eastAsia"/>
        </w:rPr>
        <w:t>县水源地应急指挥部应根据上级有关要求在规定时间内向休宁县人民政府、黄山市人民政府等初报。随着事态变化情况以及应急处置工作的展开，陆续做好动态跟踪报告，直至事故消除或趋于稳定后，做好终报工作。</w:t>
      </w:r>
    </w:p>
    <w:p>
      <w:pPr>
        <w:pStyle w:val="64"/>
        <w:ind w:firstLine="562"/>
      </w:pPr>
      <w:r>
        <w:rPr>
          <w:rFonts w:hint="eastAsia"/>
        </w:rPr>
        <w:t>3.</w:t>
      </w:r>
      <w:r>
        <w:t>2</w:t>
      </w:r>
      <w:r>
        <w:rPr>
          <w:rFonts w:hint="eastAsia"/>
        </w:rPr>
        <w:t>.3.1信息报送内容</w:t>
      </w:r>
    </w:p>
    <w:p>
      <w:pPr>
        <w:ind w:firstLine="560"/>
      </w:pPr>
      <w:r>
        <w:rPr>
          <w:rFonts w:hint="eastAsia"/>
        </w:rPr>
        <w:t>按照不同的时间节点，水源地突发环境事件报告分为初报、续报和处理结果报告。初报是发现或得知突发环境事件后的首次报告；续报是查清有关基本情况、事件发展情况后的报告，可随时报告；处理结果报告是突发环境事件处理完毕后的报告。</w:t>
      </w:r>
    </w:p>
    <w:p>
      <w:pPr>
        <w:ind w:firstLine="560"/>
      </w:pPr>
      <w:r>
        <w:rPr>
          <w:rFonts w:hint="eastAsia"/>
        </w:rPr>
        <w:t>1、初报应报告水源地突发环境事件的发生时间、地点、信息来源、事件起因和性质、基本过程、主要污染物和数量、监测结果、人员伤亡情况、水源地受影响情况、事件发展趋势、处置情况、拟采取的措施以及下一步工作建议等初步情况。</w:t>
      </w:r>
    </w:p>
    <w:p>
      <w:pPr>
        <w:ind w:firstLine="560"/>
      </w:pPr>
      <w:r>
        <w:rPr>
          <w:rFonts w:hint="eastAsia"/>
        </w:rPr>
        <w:t>2、续报应在初报的基础上，报告事件及有关处置措施的进展情况。</w:t>
      </w:r>
    </w:p>
    <w:p>
      <w:pPr>
        <w:ind w:firstLine="560"/>
      </w:pPr>
      <w:r>
        <w:rPr>
          <w:rFonts w:hint="eastAsia"/>
        </w:rPr>
        <w:t>3、处理结果报告应在初报、续报的基础上，报告突发环境事件的处置措施、过程和结果等详细情况。</w:t>
      </w:r>
    </w:p>
    <w:p>
      <w:pPr>
        <w:pStyle w:val="64"/>
        <w:ind w:firstLine="562"/>
      </w:pPr>
      <w:r>
        <w:rPr>
          <w:rFonts w:hint="eastAsia"/>
        </w:rPr>
        <w:t>3.</w:t>
      </w:r>
      <w:r>
        <w:t>2</w:t>
      </w:r>
      <w:r>
        <w:rPr>
          <w:rFonts w:hint="eastAsia"/>
        </w:rPr>
        <w:t>.3.2信息报送程序和时限</w:t>
      </w:r>
    </w:p>
    <w:p>
      <w:pPr>
        <w:ind w:firstLine="560"/>
      </w:pPr>
      <w:r>
        <w:rPr>
          <w:rFonts w:hint="eastAsia"/>
        </w:rPr>
        <w:t>1、对初步认定为一般（Ⅳ级）或者较大（Ⅲ级）突发饮用水源环境事件的，县水源地应急指挥部及县生态环境分局应当在4小时内向休宁县人民政府和黄山市生态环境局报告。</w:t>
      </w:r>
    </w:p>
    <w:p>
      <w:pPr>
        <w:ind w:firstLine="560"/>
      </w:pPr>
      <w:r>
        <w:rPr>
          <w:rFonts w:hint="eastAsia"/>
        </w:rPr>
        <w:t>2、对初步认定为重大（Ⅱ级）或者特别重大（Ⅰ级）突发饮用水源环境事件的，县水源地应急指挥部及县生态环境分局应当在2小时内向休宁县人民政府、黄山市生态环境局和安徽省生态环境厅报告，同时上报生态环境部。</w:t>
      </w:r>
    </w:p>
    <w:p>
      <w:pPr>
        <w:ind w:firstLine="560"/>
      </w:pPr>
      <w:r>
        <w:rPr>
          <w:rFonts w:hint="eastAsia"/>
        </w:rPr>
        <w:t>3、突发饮用水源环境事件处置过程中事件级别发生变化的，应当按照变化后的级别报告信息。</w:t>
      </w:r>
    </w:p>
    <w:p>
      <w:pPr>
        <w:ind w:firstLine="560"/>
      </w:pPr>
      <w:r>
        <w:rPr>
          <w:rFonts w:hint="eastAsia"/>
        </w:rPr>
        <w:t>4、发生一时无法判明等级的突发饮用水源环境事件，县水源地应急指挥部、休宁县生态环境分局和休宁县人民政府应当按照重大（Ⅱ级）或者特别重大（I级）突发饮用水源环境事件的报告程序上报。</w:t>
      </w:r>
    </w:p>
    <w:p>
      <w:pPr>
        <w:ind w:firstLine="560"/>
      </w:pPr>
      <w:r>
        <w:rPr>
          <w:rFonts w:hint="eastAsia"/>
        </w:rPr>
        <w:t>5、突发饮用水源环境事件已经或者可能涉及相邻行政区域的，应急指挥部、休宁县生态环境分局应当及时通报相邻区域同级生态环境部门，并向休宁县人民政府办公室提出向相邻区域人民政府通报的建议，同时上报市政府和市指挥部。</w:t>
      </w:r>
    </w:p>
    <w:p>
      <w:pPr>
        <w:pStyle w:val="64"/>
        <w:ind w:firstLine="562"/>
      </w:pPr>
      <w:r>
        <w:rPr>
          <w:rFonts w:hint="eastAsia"/>
        </w:rPr>
        <w:t>3.</w:t>
      </w:r>
      <w:r>
        <w:t>2</w:t>
      </w:r>
      <w:r>
        <w:rPr>
          <w:rFonts w:hint="eastAsia"/>
        </w:rPr>
        <w:t>.3.3信息报送形式</w:t>
      </w:r>
    </w:p>
    <w:p>
      <w:pPr>
        <w:ind w:firstLine="560"/>
      </w:pPr>
      <w:bookmarkStart w:id="31" w:name="_Hlk116163147"/>
      <w:r>
        <w:rPr>
          <w:rFonts w:hint="eastAsia"/>
        </w:rPr>
        <w:t>水源地突发环境事件信息应当采用传真、网络、邮寄和面呈等方式书面报告；情况紧急时，初报可通过电话报告，但应当及时补充书面报告。通过传真或网络发送水源地突发环境事件信息报告后要主动致电确认对方是否收到传真或电子邮件。</w:t>
      </w:r>
    </w:p>
    <w:p>
      <w:pPr>
        <w:ind w:firstLine="560"/>
      </w:pPr>
      <w:r>
        <w:rPr>
          <w:rFonts w:hint="eastAsia"/>
        </w:rPr>
        <w:t>书面报告中应载明水源地突发环境事件报告单位、报告签发人、联系人及联系方式等内容，并尽可能提供地图、图片以及相关的多媒体资料。</w:t>
      </w:r>
    </w:p>
    <w:bookmarkEnd w:id="31"/>
    <w:p>
      <w:pPr>
        <w:pStyle w:val="38"/>
        <w:spacing w:before="120" w:after="120"/>
        <w:ind w:firstLine="562"/>
      </w:pPr>
      <w:r>
        <w:rPr>
          <w:rFonts w:hint="eastAsia"/>
        </w:rPr>
        <w:t>3.2.</w:t>
      </w:r>
      <w:r>
        <w:t>4</w:t>
      </w:r>
      <w:r>
        <w:rPr>
          <w:rFonts w:hint="eastAsia"/>
        </w:rPr>
        <w:t>信息通报</w:t>
      </w:r>
    </w:p>
    <w:p>
      <w:pPr>
        <w:ind w:firstLine="560"/>
      </w:pPr>
      <w:r>
        <w:rPr>
          <w:rFonts w:hint="eastAsia"/>
        </w:rPr>
        <w:t>对经核实的水源地突发环境事件，接报的有关部门应向休宁县人民政府和有关部门通报。通报的部门至少应包括县生态环境分局、县住建局、县卫健委、县应急管理局等部门；根据水源地突发环境事件的类型和情景，还应通报县消防大队（遇火灾爆炸）、县公安局（遇火灾爆炸、道路运输事故）、县农业农村水利局（遇大面积死鱼）等部门；根据水源地突发环境事件的地点（涉及到黄山市屯溪区一水厂和黄山市中心城区二水厂），应及时向市住建局通报。</w:t>
      </w:r>
    </w:p>
    <w:p>
      <w:pPr>
        <w:ind w:firstLine="560"/>
      </w:pPr>
      <w:r>
        <w:rPr>
          <w:rFonts w:hint="eastAsia"/>
        </w:rPr>
        <w:t>当休宁县集中式饮用水水源地突发环境事件已经或可能影响相邻行政区域的，应及时通报相邻区域同级人民政府及有关部门，并及时上报黄山市人民政府和市指挥部，在市级人民政府和市指挥部的领导、组织、协调下，积极开展突发事件的应对工作。接到通报的相邻区域政府和部门应当及时调查了解情况，按照相关规定报告突发环境事件信息，并向休宁县人民政府报告。</w:t>
      </w:r>
    </w:p>
    <w:p>
      <w:pPr>
        <w:pStyle w:val="37"/>
      </w:pPr>
      <w:bookmarkStart w:id="32" w:name="_Toc153869659"/>
      <w:r>
        <w:rPr>
          <w:rFonts w:hint="eastAsia"/>
        </w:rPr>
        <w:t>3.3事态研判</w:t>
      </w:r>
      <w:bookmarkEnd w:id="32"/>
    </w:p>
    <w:p>
      <w:pPr>
        <w:ind w:firstLine="560"/>
      </w:pPr>
      <w:r>
        <w:rPr>
          <w:rFonts w:hint="eastAsia"/>
        </w:rPr>
        <w:t>发布预警后，由总指挥、副总指挥、协调办公室、专项工作组成员及名单，迅速组建参加应急指挥的各个工作组，跟踪开展事态研判。</w:t>
      </w:r>
    </w:p>
    <w:p>
      <w:pPr>
        <w:ind w:firstLine="560"/>
      </w:pPr>
      <w:bookmarkStart w:id="33" w:name="_Hlk116163209"/>
      <w:r>
        <w:rPr>
          <w:rFonts w:hint="eastAsia"/>
        </w:rPr>
        <w:t>事态研判主要包括如下内容：</w:t>
      </w:r>
    </w:p>
    <w:p>
      <w:pPr>
        <w:ind w:firstLine="560"/>
      </w:pPr>
      <w:r>
        <w:rPr>
          <w:rFonts w:hint="eastAsia"/>
        </w:rPr>
        <w:t>1、事故点下游沿河水利设施工程情况；</w:t>
      </w:r>
    </w:p>
    <w:p>
      <w:pPr>
        <w:ind w:firstLine="560"/>
      </w:pPr>
      <w:r>
        <w:rPr>
          <w:rFonts w:hint="eastAsia"/>
        </w:rPr>
        <w:t>2、判断污染物进入河流的数量及种类性质（如固定源、流动源、非点源或是水华灾害引发的事故、自然灾害）；</w:t>
      </w:r>
    </w:p>
    <w:p>
      <w:pPr>
        <w:ind w:firstLine="560"/>
      </w:pPr>
      <w:r>
        <w:rPr>
          <w:rFonts w:hint="eastAsia"/>
        </w:rPr>
        <w:t>3、事故点下游水系分布情况（包括清洁水情况）；</w:t>
      </w:r>
    </w:p>
    <w:p>
      <w:pPr>
        <w:ind w:firstLine="560"/>
      </w:pPr>
      <w:r>
        <w:rPr>
          <w:rFonts w:hint="eastAsia"/>
        </w:rPr>
        <w:t>4、事故点距离水源地取水口的距离和可能对水源地造成的危害，以及备用水源地情况；</w:t>
      </w:r>
    </w:p>
    <w:p>
      <w:pPr>
        <w:ind w:firstLine="560"/>
      </w:pPr>
      <w:r>
        <w:rPr>
          <w:rFonts w:hint="eastAsia"/>
        </w:rPr>
        <w:t>5、对发生地点时间，污染物数量和面积、应急监测数据等事件信息进行分析研判，制定不同事件类型（如固定源、流动源、非点源或是水华灾害引发的事故、自然灾害）状况下的现场应急处置方案；根据事件进展情况和形势动态，提出相应的对策和意见；对突发环境事件的危害范围、发展趋势做出科学预测。</w:t>
      </w:r>
    </w:p>
    <w:p>
      <w:pPr>
        <w:ind w:firstLine="560"/>
      </w:pPr>
      <w:r>
        <w:rPr>
          <w:rFonts w:hint="eastAsia"/>
        </w:rPr>
        <w:t>事态研判的结果，应作为制定和动态调整应急响应有关方案、实施应急监测、污染源排查与处置、应急处置的重要基础。</w:t>
      </w:r>
    </w:p>
    <w:bookmarkEnd w:id="33"/>
    <w:p>
      <w:pPr>
        <w:pStyle w:val="37"/>
      </w:pPr>
      <w:bookmarkStart w:id="34" w:name="_Toc153869660"/>
      <w:r>
        <w:rPr>
          <w:rFonts w:hint="eastAsia"/>
        </w:rPr>
        <w:t>3.4应急监测</w:t>
      </w:r>
      <w:bookmarkEnd w:id="34"/>
    </w:p>
    <w:p>
      <w:pPr>
        <w:ind w:firstLine="560"/>
      </w:pPr>
      <w:bookmarkStart w:id="35" w:name="_Hlk116163231"/>
      <w:r>
        <w:rPr>
          <w:rFonts w:hint="eastAsia"/>
        </w:rPr>
        <w:t>水源地突发环境事件发生时，根据事件的严重性、紧急程度和可能波及的范围分级启动应急监测工作，水源地突发环境事件的应急监测由县生态环境分局牵头，县卫健委、县农业农村水利局、县自然资源和规划局、县气象局、县供水有限责任公司等单位组成，制定应急监测实施方案，负责组织协调污染水域环境实时的应急监测；查明污染物种类、污染程度、范围、污染发展趋势，以及当时的水文、气象参数，提出处理建议，为应急处置提供决策依据</w:t>
      </w:r>
      <w:bookmarkEnd w:id="35"/>
      <w:r>
        <w:rPr>
          <w:rFonts w:hint="eastAsia"/>
        </w:rPr>
        <w:t>。</w:t>
      </w:r>
    </w:p>
    <w:p>
      <w:pPr>
        <w:pStyle w:val="38"/>
        <w:spacing w:before="120" w:after="120"/>
        <w:ind w:firstLine="562"/>
      </w:pPr>
      <w:r>
        <w:rPr>
          <w:rFonts w:hint="eastAsia"/>
        </w:rPr>
        <w:t>3.4.1开展应急监测程序</w:t>
      </w:r>
    </w:p>
    <w:p>
      <w:pPr>
        <w:ind w:firstLine="560"/>
      </w:pPr>
      <w:r>
        <w:rPr>
          <w:rFonts w:hint="eastAsia"/>
        </w:rPr>
        <w:t>事件处置初期，实施应急监测的部门应按照现场应急指挥部命令，根据现场实际情况制定监测方案、设置监测点位（断面）、确定监测频次、组织开展监测、形成监测报告，第一时间向现场应急指挥部报告监测结果和污染浓度变化态势图，并安排人员对突发环境事件监测情况进行全过程记录。</w:t>
      </w:r>
    </w:p>
    <w:p>
      <w:pPr>
        <w:ind w:firstLine="560"/>
      </w:pPr>
      <w:r>
        <w:rPr>
          <w:rFonts w:hint="eastAsia"/>
        </w:rPr>
        <w:t>事件处置中期，应根据事态发展，如上游来水量、应急处置措施效果等情况，适时调整监测点位（断面）和监测频次。</w:t>
      </w:r>
    </w:p>
    <w:p>
      <w:pPr>
        <w:ind w:firstLine="560"/>
      </w:pPr>
      <w:r>
        <w:rPr>
          <w:rFonts w:hint="eastAsia"/>
        </w:rPr>
        <w:t>事件处置末期，应按照现场应急指挥部命令，停止应急监测，并向现场应急指挥部提交应急监测总结报告。</w:t>
      </w:r>
    </w:p>
    <w:p>
      <w:pPr>
        <w:pStyle w:val="38"/>
        <w:spacing w:before="120" w:after="120"/>
        <w:ind w:firstLine="562"/>
      </w:pPr>
      <w:r>
        <w:rPr>
          <w:rFonts w:hint="eastAsia"/>
        </w:rPr>
        <w:t>3.4.2制定应急监测方案</w:t>
      </w:r>
    </w:p>
    <w:p>
      <w:pPr>
        <w:ind w:firstLine="560"/>
      </w:pPr>
      <w:r>
        <w:rPr>
          <w:rFonts w:hint="eastAsia"/>
        </w:rPr>
        <w:t>应急监测应按照《突发环境事件应急监测技术规范》（HJ 589-2021）及《重特大突发水环境事件应急监测工作规程》（环办监测函〔2020〕543号）规定，在第一时间结合污染现场的实际情况，制定监测方案，应急监测方案应包括依据的技术规范、实施人员、布点原则、采样频次和注意事项、监测结果记录和报告方式等。应急监测重点是抓住污染带前锋、峰值位置和浓度变化，对污染带移动过程形成动态监控。当污染来源不明时，应先通过应急监测确定特征污染物成分，再进行污染源排查和先期处置。</w:t>
      </w:r>
    </w:p>
    <w:p>
      <w:pPr>
        <w:ind w:firstLine="560"/>
      </w:pPr>
      <w:r>
        <w:rPr>
          <w:rFonts w:hint="eastAsia"/>
        </w:rPr>
        <w:t>应急监测原则和注意事项主要包括以下内容：</w:t>
      </w:r>
    </w:p>
    <w:p>
      <w:pPr>
        <w:ind w:firstLine="560"/>
      </w:pPr>
      <w:r>
        <w:rPr>
          <w:rFonts w:hint="eastAsia"/>
        </w:rPr>
        <w:t>1、监测范围。尽量涵盖水源地突发环境事件的污染范围，并包括事件可能影响区域和污染物本底浓度的监测区域。</w:t>
      </w:r>
    </w:p>
    <w:p>
      <w:pPr>
        <w:ind w:firstLine="560"/>
      </w:pPr>
      <w:r>
        <w:rPr>
          <w:rFonts w:hint="eastAsia"/>
        </w:rPr>
        <w:t>2、监测布点和频次。以突发环境事件发生地点为中心或源头，结合水文和气象条件，在其扩散方向及可能受到影响的水源地位置合理布点，必要时在事故影响区域内水源取水口、农灌区取水口处设置监测点位（断面）。应采取不同点位（断面）相同间隔时间（一般为1小时）同步采样监测方式，动态监控污染带移动过程。</w:t>
      </w:r>
    </w:p>
    <w:p>
      <w:pPr>
        <w:ind w:firstLine="560"/>
      </w:pPr>
      <w:bookmarkStart w:id="36" w:name="_Hlk116163318"/>
      <w:r>
        <w:rPr>
          <w:rFonts w:hint="eastAsia"/>
        </w:rPr>
        <w:t>①针对固定源突发环境事件，应对固定源排放口附近水域、下游水源地取水口附近水域进行加密跟踪监测。</w:t>
      </w:r>
    </w:p>
    <w:p>
      <w:pPr>
        <w:ind w:firstLine="560"/>
      </w:pPr>
      <w:r>
        <w:rPr>
          <w:rFonts w:hint="eastAsia"/>
        </w:rPr>
        <w:t>②针对流动源、非点源突发环境事件，应对流动源、非点源排放下游水域、下游水源地附近进行加密跟踪监测。</w:t>
      </w:r>
    </w:p>
    <w:p>
      <w:pPr>
        <w:ind w:firstLine="560"/>
      </w:pPr>
      <w:r>
        <w:rPr>
          <w:rFonts w:hint="eastAsia"/>
        </w:rPr>
        <w:t>③水华灾害突发事件若发生在一级、二级保护区范围，应对取水口不同水层进行加密跟踪监测。</w:t>
      </w:r>
    </w:p>
    <w:bookmarkEnd w:id="36"/>
    <w:p>
      <w:pPr>
        <w:ind w:firstLine="560"/>
      </w:pPr>
      <w:bookmarkStart w:id="37" w:name="_Hlk116163353"/>
      <w:r>
        <w:rPr>
          <w:rFonts w:hint="eastAsia"/>
        </w:rPr>
        <w:t>监测频次可设置为事故发生时1次/时，事故结束2次/天。</w:t>
      </w:r>
    </w:p>
    <w:bookmarkEnd w:id="37"/>
    <w:p>
      <w:pPr>
        <w:ind w:firstLine="560"/>
      </w:pPr>
      <w:r>
        <w:rPr>
          <w:rFonts w:hint="eastAsia"/>
        </w:rPr>
        <w:t>3、现场采样。制定采样计划和准备采样器材。采样量同时满足快速检测、实验室检测和留样的需要。采样频次考虑污染程度和现场水文条件，按照应急专家组的意见确定。</w:t>
      </w:r>
    </w:p>
    <w:p>
      <w:pPr>
        <w:ind w:firstLine="560"/>
      </w:pPr>
      <w:r>
        <w:rPr>
          <w:rFonts w:hint="eastAsia"/>
        </w:rPr>
        <w:t>4、监测项目。通过现场信息收集、信息研判、代表性样品分析等途径，确定主要污染物及监测项目。监测项目考虑主要污染物在环境中可能产生的化学反应、衍生成其他有毒有害物质，有条件的地区可同时开展水生生物指标的监测，为后期损害评估提供第一手资料。</w:t>
      </w:r>
    </w:p>
    <w:p>
      <w:pPr>
        <w:ind w:firstLine="560"/>
      </w:pPr>
      <w:r>
        <w:rPr>
          <w:rFonts w:hint="eastAsia"/>
        </w:rPr>
        <w:t>5、分析方法。</w:t>
      </w:r>
      <w:bookmarkStart w:id="38" w:name="_Hlk116163409"/>
      <w:r>
        <w:rPr>
          <w:rFonts w:hint="eastAsia"/>
        </w:rPr>
        <w:t>根据前期所列监测项目，具备现场监测条件的监测项目，应尽量在现场监测；必要时，备份现场监测的样品送实验室监（复）测，以确认现场定性或定量检测结果的准确性。不能在现场检测的项目，进行采样后送至实验室进行检测。</w:t>
      </w:r>
    </w:p>
    <w:p>
      <w:pPr>
        <w:ind w:firstLine="560"/>
      </w:pPr>
      <w:r>
        <w:rPr>
          <w:rFonts w:hint="eastAsia"/>
        </w:rPr>
        <w:t>分析方法采用《生活饮用水标准检验方法》（GB5750-2023）中推荐方法和《地表水环境质量标准》（GB3838-2002）中所列分析方法。</w:t>
      </w:r>
    </w:p>
    <w:bookmarkEnd w:id="38"/>
    <w:p>
      <w:pPr>
        <w:ind w:firstLine="560"/>
      </w:pPr>
      <w:r>
        <w:rPr>
          <w:rFonts w:hint="eastAsia"/>
        </w:rPr>
        <w:t>6、监测结果与数据报告。</w:t>
      </w:r>
      <w:bookmarkStart w:id="39" w:name="_Hlk116163443"/>
      <w:r>
        <w:rPr>
          <w:rFonts w:hint="eastAsia"/>
        </w:rPr>
        <w:t>各监测项目的监测数据应按照有关监测技术规范进行数据处理。应急监测数据的整理分析应本着及时快速报送的原则，以电话、传真、快报、简报、监测报告等形式，将监测结果在第一时间上报给现场应急指挥部。</w:t>
      </w:r>
      <w:bookmarkEnd w:id="39"/>
    </w:p>
    <w:p>
      <w:pPr>
        <w:ind w:firstLine="560"/>
      </w:pPr>
      <w:r>
        <w:rPr>
          <w:rFonts w:hint="eastAsia"/>
        </w:rPr>
        <w:t>7、检测数据的质量保证。急监测过程中的样品采集、现场监测、实验室监测、数据统计等环节，都应有质量控制措施，并对应急监测报告实行三级审核。</w:t>
      </w:r>
    </w:p>
    <w:p>
      <w:pPr>
        <w:ind w:firstLine="560"/>
      </w:pPr>
      <w:bookmarkStart w:id="40" w:name="_Hlk116163458"/>
      <w:r>
        <w:rPr>
          <w:rFonts w:hint="eastAsia"/>
        </w:rPr>
        <w:t>8、水质模拟分析预测。应急专家组根据污染物种类、源强以及水文条件，进行水质模拟分析，并针对污染的下游水体，向县水源地突发环境事件应急指挥部提供8小时预报、16小时预报和24小时预测信息。划定危险水体的范围和持续时间。</w:t>
      </w:r>
    </w:p>
    <w:bookmarkEnd w:id="40"/>
    <w:p>
      <w:pPr>
        <w:pStyle w:val="37"/>
      </w:pPr>
      <w:bookmarkStart w:id="41" w:name="_Toc153869661"/>
      <w:r>
        <w:rPr>
          <w:rFonts w:hint="eastAsia"/>
        </w:rPr>
        <w:t>3.5污染源排查与处置</w:t>
      </w:r>
      <w:bookmarkEnd w:id="41"/>
    </w:p>
    <w:p>
      <w:pPr>
        <w:pStyle w:val="38"/>
        <w:spacing w:before="120" w:after="120"/>
        <w:ind w:firstLine="562"/>
      </w:pPr>
      <w:r>
        <w:rPr>
          <w:rFonts w:hint="eastAsia"/>
        </w:rPr>
        <w:t>3.5.1明确排查对象</w:t>
      </w:r>
    </w:p>
    <w:p>
      <w:pPr>
        <w:ind w:firstLine="560"/>
      </w:pPr>
      <w:r>
        <w:rPr>
          <w:rFonts w:hint="eastAsia"/>
        </w:rPr>
        <w:t>根据特征污染物种类、浓度变化、释放总量、释放路径、释放时间，以及当时的水文和气象条件，迅速组织开展污染源排查。</w:t>
      </w:r>
    </w:p>
    <w:p>
      <w:pPr>
        <w:ind w:firstLine="560"/>
      </w:pPr>
      <w:r>
        <w:rPr>
          <w:rFonts w:hint="eastAsia"/>
        </w:rPr>
        <w:t>针对不同类型污染物的排查重点和对象如下：</w:t>
      </w:r>
    </w:p>
    <w:p>
      <w:pPr>
        <w:ind w:firstLine="560"/>
      </w:pPr>
      <w:bookmarkStart w:id="42" w:name="_Hlk116163496"/>
      <w:r>
        <w:rPr>
          <w:rFonts w:hint="eastAsia"/>
        </w:rPr>
        <w:t>1、有机类污染：重点排查城镇生活污水处理厂、工业企业，调查污水处理设施运行、尾水排放的异常情况。</w:t>
      </w:r>
    </w:p>
    <w:p>
      <w:pPr>
        <w:ind w:firstLine="560"/>
      </w:pPr>
      <w:r>
        <w:rPr>
          <w:rFonts w:hint="eastAsia"/>
        </w:rPr>
        <w:t>2、营养盐类污染：重点排查城镇生活污水处理厂、工业企业、畜禽养殖场（户）、农田种植户、农村居民点、医疗场所等，调查污水处理设施运行、养殖废物处理处置、农药化肥施用、农村生活污染、医疗废水处理及消毒设施的异常情况。</w:t>
      </w:r>
    </w:p>
    <w:p>
      <w:pPr>
        <w:ind w:firstLine="560"/>
      </w:pPr>
      <w:r>
        <w:rPr>
          <w:rFonts w:hint="eastAsia"/>
        </w:rPr>
        <w:t>3、细菌类污染：重点排查城镇生活污水处理厂、畜禽养殖场（户）、农村居民点，调查污水处理设施运行、养殖废物处理处置、医疗场所、农村生活污染的异常情况。</w:t>
      </w:r>
    </w:p>
    <w:p>
      <w:pPr>
        <w:ind w:firstLine="560"/>
      </w:pPr>
      <w:r>
        <w:rPr>
          <w:rFonts w:hint="eastAsia"/>
        </w:rPr>
        <w:t>4、农药类污染：重点排查农药制造有关的工业企业、果园种植园（户）、农田种植户、农灌退水排放口，调查农药施用和流失的异常情况。</w:t>
      </w:r>
    </w:p>
    <w:p>
      <w:pPr>
        <w:ind w:firstLine="560"/>
      </w:pPr>
      <w:r>
        <w:rPr>
          <w:rFonts w:hint="eastAsia"/>
        </w:rPr>
        <w:t>5、石油类污染：重点排查加油站、运输车辆、油气管线、加工和存贮的工业企业，调查上述企业和单位的异常情况。</w:t>
      </w:r>
    </w:p>
    <w:p>
      <w:pPr>
        <w:ind w:firstLine="560"/>
      </w:pPr>
      <w:r>
        <w:rPr>
          <w:rFonts w:hint="eastAsia"/>
        </w:rPr>
        <w:t>6、重金属及其他有毒有害物质污染：重点排查采矿及选矿的工业企业（含化工园区）、尾矿库、危险废物储存单位、危化品运输车辆等，调查上述企业和单位的异常情况</w:t>
      </w:r>
      <w:bookmarkEnd w:id="42"/>
      <w:r>
        <w:rPr>
          <w:rFonts w:hint="eastAsia"/>
        </w:rPr>
        <w:t>。</w:t>
      </w:r>
    </w:p>
    <w:p>
      <w:pPr>
        <w:pStyle w:val="38"/>
        <w:spacing w:before="120" w:after="120"/>
        <w:ind w:firstLine="562"/>
      </w:pPr>
      <w:r>
        <w:rPr>
          <w:rFonts w:hint="eastAsia"/>
        </w:rPr>
        <w:t>3.5.2切断污染源</w:t>
      </w:r>
    </w:p>
    <w:p>
      <w:pPr>
        <w:ind w:firstLine="560"/>
      </w:pPr>
      <w:r>
        <w:rPr>
          <w:rFonts w:hint="eastAsia"/>
        </w:rPr>
        <w:t>对水源地应急预案适用地域范围内的污染源，由现场应急总指挥会同县生态环境分局、交通局、应急管理局等职能部门及组织专家会商后，指令专业技术人员按照安全规程实施切断污染源；对水源地应急预案适用地域范围外的污染源，按有关突发环境事件应急预案要求进行处置。</w:t>
      </w:r>
    </w:p>
    <w:p>
      <w:pPr>
        <w:ind w:firstLine="560"/>
      </w:pPr>
      <w:r>
        <w:rPr>
          <w:rFonts w:hint="eastAsia"/>
        </w:rPr>
        <w:t>处置措施主要采取切断污染源、收集和围堵污染物等，主要包括以下内容：</w:t>
      </w:r>
    </w:p>
    <w:p>
      <w:pPr>
        <w:ind w:firstLine="560"/>
      </w:pPr>
      <w:bookmarkStart w:id="43" w:name="_Hlk116163514"/>
      <w:r>
        <w:rPr>
          <w:rFonts w:hint="eastAsia"/>
        </w:rPr>
        <w:t>1、对发生非正常排放或有毒有害物质泄漏的固定源突发环境事件，应尽快采取关闭、封堵、收集、转移等措施，切断污染源或泄漏源。</w:t>
      </w:r>
    </w:p>
    <w:p>
      <w:pPr>
        <w:ind w:firstLine="560"/>
      </w:pPr>
      <w:r>
        <w:rPr>
          <w:rFonts w:hint="eastAsia"/>
        </w:rPr>
        <w:t>2、对道路交通运输过程中发生的流动源突发事件，可启动路面系统的导流槽、应急池或紧急设置围堰、闸坝等，对污染源进行围堵并收集污染物。</w:t>
      </w:r>
    </w:p>
    <w:p>
      <w:pPr>
        <w:ind w:firstLine="560"/>
      </w:pPr>
      <w:r>
        <w:t>3</w:t>
      </w:r>
      <w:r>
        <w:rPr>
          <w:rFonts w:hint="eastAsia"/>
        </w:rPr>
        <w:t>、启动应急收集系统集中收集陆域污染物，设立拦截设施，防止污染物在陆域蔓延，组织有关部门对污染物进行回收处置。</w:t>
      </w:r>
    </w:p>
    <w:p>
      <w:pPr>
        <w:ind w:firstLine="560"/>
      </w:pPr>
      <w:r>
        <w:rPr>
          <w:rFonts w:hint="eastAsia"/>
        </w:rPr>
        <w:t>4、对非点源突发事件，由县农业农村水利局、生态环境分局通过停止施放、闸坝拦截、收集、转移等方式，对污染源进行围堵及收集。</w:t>
      </w:r>
    </w:p>
    <w:p>
      <w:pPr>
        <w:ind w:firstLine="560"/>
      </w:pPr>
      <w:r>
        <w:rPr>
          <w:rFonts w:hint="eastAsia"/>
        </w:rPr>
        <w:t>5、对水上船舶航行过程中发生的流动源突发事件，主要采取救援打捞、油毡吸附、围油栏、闸坝拦截等方式，对污染源进行围堵并收集污染物。</w:t>
      </w:r>
    </w:p>
    <w:p>
      <w:pPr>
        <w:ind w:firstLine="560"/>
      </w:pPr>
      <w:r>
        <w:t>6</w:t>
      </w:r>
      <w:r>
        <w:rPr>
          <w:rFonts w:hint="eastAsia"/>
        </w:rPr>
        <w:t>、由生活污水乱排乱放引发的环境突发事件，首先应及时开挖导流渠将污水引至合适的处理场所，同时利用格栅等设施将污水中的垃圾进行收集并妥善处理。</w:t>
      </w:r>
    </w:p>
    <w:p>
      <w:pPr>
        <w:ind w:firstLine="560"/>
      </w:pPr>
      <w:r>
        <w:t>7</w:t>
      </w:r>
      <w:r>
        <w:rPr>
          <w:rFonts w:hint="eastAsia"/>
        </w:rPr>
        <w:t>、由农业种植活动中施撒化肥、喷洒农药等引起的环境突发事件，首先应及时开挖导流渠将污水引至合适的处理场所进行处理，同时加强对农业种植活动的管控，宣传环保知识，增强环保意识，强调饮水源的重要性，减少农业种植活动中化肥和农药的使用。</w:t>
      </w:r>
    </w:p>
    <w:p>
      <w:pPr>
        <w:ind w:firstLine="560"/>
      </w:pPr>
      <w:r>
        <w:t>8</w:t>
      </w:r>
      <w:r>
        <w:rPr>
          <w:rFonts w:hint="eastAsia"/>
        </w:rPr>
        <w:t>、根据现场事态发展对扩散至水体的污染物进行处置</w:t>
      </w:r>
      <w:bookmarkEnd w:id="43"/>
      <w:r>
        <w:rPr>
          <w:rFonts w:hint="eastAsia"/>
        </w:rPr>
        <w:t>。水质监测发现异常、污染物来源不确定时，应明确负责开展溯源分析的部门、责任人及工作程序。根据特征污染物种类、浓度变化、释放总量、释放路径、释放时间，以及当时的水文和气象条件，迅速组织开展污染源排查</w:t>
      </w:r>
    </w:p>
    <w:p>
      <w:pPr>
        <w:pStyle w:val="37"/>
      </w:pPr>
      <w:bookmarkStart w:id="44" w:name="_Toc153869662"/>
      <w:r>
        <w:rPr>
          <w:rFonts w:hint="eastAsia"/>
        </w:rPr>
        <w:t>3.6应急处置</w:t>
      </w:r>
      <w:bookmarkEnd w:id="44"/>
    </w:p>
    <w:p>
      <w:pPr>
        <w:pStyle w:val="38"/>
        <w:spacing w:before="120" w:after="120"/>
        <w:ind w:firstLine="562"/>
      </w:pPr>
      <w:r>
        <w:rPr>
          <w:rFonts w:hint="eastAsia"/>
        </w:rPr>
        <w:t>3.6.1先期处置</w:t>
      </w:r>
    </w:p>
    <w:p>
      <w:pPr>
        <w:ind w:firstLine="560"/>
      </w:pPr>
      <w:r>
        <w:rPr>
          <w:rFonts w:hint="eastAsia"/>
        </w:rPr>
        <w:t>日常管理机构当接到突发环境事件举报时应第一时间赶赴事发现场，了解污染情况，组织进行先期处置。现场处置方案主要包括以下内容：应急监测、污染处置措施、物资调集、应急队伍和人员安排、供水单位应对等。</w:t>
      </w:r>
    </w:p>
    <w:p>
      <w:pPr>
        <w:pStyle w:val="38"/>
        <w:spacing w:before="120" w:after="120"/>
        <w:ind w:firstLine="562"/>
      </w:pPr>
      <w:r>
        <w:rPr>
          <w:rFonts w:hint="eastAsia"/>
        </w:rPr>
        <w:t>3.6.2现场调查</w:t>
      </w:r>
    </w:p>
    <w:p>
      <w:pPr>
        <w:ind w:firstLine="560"/>
      </w:pPr>
      <w:r>
        <w:rPr>
          <w:rFonts w:hint="eastAsia"/>
        </w:rPr>
        <w:t>现场调查组调查了解现场的基本情况、事件发生的过程、产生的后果以及已采取的措施，根据事件的发生发展情况，开展现场调查，采取控制措施。现场调查内容包括：事件发生的地点、时间、原因、过程以及当事人、污染物的来源、品名、种类、性状、数量、污染途径、范围及程度，以及污染的扩散趋势。</w:t>
      </w:r>
    </w:p>
    <w:p>
      <w:pPr>
        <w:pStyle w:val="38"/>
        <w:spacing w:before="120" w:after="120"/>
        <w:ind w:firstLine="562"/>
      </w:pPr>
      <w:r>
        <w:rPr>
          <w:rFonts w:hint="eastAsia"/>
        </w:rPr>
        <w:t>3.6.3制定现场处置方案</w:t>
      </w:r>
    </w:p>
    <w:p>
      <w:pPr>
        <w:ind w:firstLine="560"/>
      </w:pPr>
      <w:bookmarkStart w:id="45" w:name="_Hlk116163581"/>
      <w:r>
        <w:rPr>
          <w:rFonts w:hint="eastAsia"/>
        </w:rPr>
        <w:t>1、现场应急处置方案</w:t>
      </w:r>
    </w:p>
    <w:p>
      <w:pPr>
        <w:ind w:firstLine="560"/>
      </w:pPr>
      <w:r>
        <w:rPr>
          <w:rFonts w:hint="eastAsia"/>
        </w:rPr>
        <w:t>现场处置方案由现场应急指挥部制定，现场处置要立足于彻底消除污染危害，避免遗留后患，依靠科技和专家力量，尽可能控制和缩小已排出污染物的扩散、蔓延范围，把水源地突发环境事件危害降低到最低程度。现场处置方案主要包括以下内容：应急监测、污染处置措施、物资调集、应急队伍和人员安排、供水单位应对等。</w:t>
      </w:r>
    </w:p>
    <w:bookmarkEnd w:id="45"/>
    <w:p>
      <w:pPr>
        <w:ind w:firstLine="560"/>
      </w:pPr>
      <w:bookmarkStart w:id="46" w:name="_Hlk116163593"/>
      <w:r>
        <w:rPr>
          <w:rFonts w:hint="eastAsia"/>
        </w:rPr>
        <w:t>2、污染物处置措施</w:t>
      </w:r>
    </w:p>
    <w:bookmarkEnd w:id="46"/>
    <w:p>
      <w:pPr>
        <w:ind w:firstLine="560"/>
      </w:pPr>
      <w:r>
        <w:rPr>
          <w:rFonts w:hint="eastAsia"/>
        </w:rPr>
        <w:t>根据污染特征，水源地突发环境事件的污染处置措施如下。</w:t>
      </w:r>
    </w:p>
    <w:p>
      <w:pPr>
        <w:ind w:firstLine="560"/>
      </w:pPr>
      <w:r>
        <w:rPr>
          <w:rFonts w:hint="eastAsia"/>
        </w:rPr>
        <w:t>（1）水华灾害突发事件。对一级、二级、准保护区的水华发生区域，采取增氧机、藻类打捞等方式减少和控制藻类生长和扩散；有条件的，可采用生态调水的方式，通过增加水体扰动控制水华灾害。</w:t>
      </w:r>
    </w:p>
    <w:p>
      <w:pPr>
        <w:ind w:firstLine="560"/>
      </w:pPr>
      <w:r>
        <w:rPr>
          <w:rFonts w:hint="eastAsia"/>
        </w:rPr>
        <w:t>（2）水体内污染物治理、总量或浓度削减。根据应急专家组等意见，制定综合处置方案，经现场应急指挥部确认后实施。采取隔离、吸附、打捞、扰动等物理方法，氧化、沉淀等化学方法，利用湿地生物群消解等生物方法和上游调水等稀释方法，可以采取一种或多种方式，力争短时间内削减污染物浓度。现场应急指挥部可根据需要，对水源地汇水区域内的污染物排放企业实施停产、减产、限产等措施，削减水域污染物总量或浓度。</w:t>
      </w:r>
    </w:p>
    <w:p>
      <w:pPr>
        <w:ind w:firstLine="560"/>
      </w:pPr>
      <w:r>
        <w:rPr>
          <w:rFonts w:hint="eastAsia"/>
        </w:rPr>
        <w:t>（3）应急工程设施拦截污染水体。在河道内启用或修建拦截坝、节制闸等工程设施拦截污染水体；通过导流渠将未受污染水体导流至污染水体下游，通过分流沟将污染水体分流至水源保护区外进行收集处置；利用前置库、缓冲池等工程设施，降低污染水体的污染物浓度，为应急处置争取时间。不能建设永久应急工程的，应事先论证确定可建设应急工程的地址，并在预案中明确。</w:t>
      </w:r>
    </w:p>
    <w:p>
      <w:pPr>
        <w:ind w:firstLine="560"/>
      </w:pPr>
      <w:r>
        <w:rPr>
          <w:rFonts w:hint="eastAsia"/>
        </w:rPr>
        <w:t>针对污染物可采取的物理、化学、生物处理技术如表3.6-1所示。</w:t>
      </w:r>
    </w:p>
    <w:p>
      <w:pPr>
        <w:pStyle w:val="87"/>
      </w:pPr>
      <w:r>
        <w:rPr>
          <w:rFonts w:hint="eastAsia"/>
        </w:rPr>
        <w:t>表3.6-1适用于处理不同超标项目的推荐技术</w:t>
      </w:r>
    </w:p>
    <w:tbl>
      <w:tblPr>
        <w:tblStyle w:val="2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3" w:type="dxa"/>
            <w:shd w:val="clear" w:color="auto" w:fill="auto"/>
            <w:vAlign w:val="center"/>
          </w:tcPr>
          <w:p>
            <w:pPr>
              <w:pStyle w:val="31"/>
            </w:pPr>
            <w:r>
              <w:rPr>
                <w:rFonts w:hint="eastAsia"/>
              </w:rPr>
              <w:t>超标项目</w:t>
            </w:r>
          </w:p>
        </w:tc>
        <w:tc>
          <w:tcPr>
            <w:tcW w:w="6804" w:type="dxa"/>
            <w:shd w:val="clear" w:color="auto" w:fill="auto"/>
            <w:vAlign w:val="center"/>
          </w:tcPr>
          <w:p>
            <w:pPr>
              <w:pStyle w:val="31"/>
            </w:pPr>
            <w:r>
              <w:rPr>
                <w:rFonts w:hint="eastAsia"/>
              </w:rPr>
              <w:t>推荐技术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3" w:type="dxa"/>
            <w:shd w:val="clear" w:color="auto" w:fill="auto"/>
            <w:vAlign w:val="center"/>
          </w:tcPr>
          <w:p>
            <w:pPr>
              <w:pStyle w:val="31"/>
            </w:pPr>
            <w:r>
              <w:rPr>
                <w:rFonts w:hint="eastAsia"/>
              </w:rPr>
              <w:t>浊度</w:t>
            </w:r>
          </w:p>
        </w:tc>
        <w:tc>
          <w:tcPr>
            <w:tcW w:w="6804" w:type="dxa"/>
            <w:shd w:val="clear" w:color="auto" w:fill="auto"/>
            <w:vAlign w:val="center"/>
          </w:tcPr>
          <w:p>
            <w:pPr>
              <w:pStyle w:val="31"/>
              <w:jc w:val="left"/>
            </w:pPr>
            <w:r>
              <w:rPr>
                <w:rFonts w:hint="eastAsia"/>
              </w:rPr>
              <w:t>快速砂滤池、絮凝、沉淀、过滤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3" w:type="dxa"/>
            <w:shd w:val="clear" w:color="auto" w:fill="auto"/>
            <w:vAlign w:val="center"/>
          </w:tcPr>
          <w:p>
            <w:pPr>
              <w:pStyle w:val="31"/>
            </w:pPr>
            <w:r>
              <w:rPr>
                <w:rFonts w:hint="eastAsia"/>
              </w:rPr>
              <w:t>色度</w:t>
            </w:r>
          </w:p>
        </w:tc>
        <w:tc>
          <w:tcPr>
            <w:tcW w:w="6804" w:type="dxa"/>
            <w:shd w:val="clear" w:color="auto" w:fill="auto"/>
            <w:vAlign w:val="center"/>
          </w:tcPr>
          <w:p>
            <w:pPr>
              <w:pStyle w:val="31"/>
              <w:jc w:val="left"/>
            </w:pPr>
            <w:r>
              <w:rPr>
                <w:rFonts w:hint="eastAsia"/>
              </w:rPr>
              <w:t>快速砂滤池、絮凝；活性炭吸附；化学氧化预处理：臭氧、氯、高锰酸钾、二氧化氯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3" w:type="dxa"/>
            <w:shd w:val="clear" w:color="auto" w:fill="auto"/>
            <w:vAlign w:val="center"/>
          </w:tcPr>
          <w:p>
            <w:pPr>
              <w:pStyle w:val="31"/>
            </w:pPr>
            <w:r>
              <w:rPr>
                <w:rFonts w:hint="eastAsia"/>
              </w:rPr>
              <w:t>嗅味</w:t>
            </w:r>
          </w:p>
        </w:tc>
        <w:tc>
          <w:tcPr>
            <w:tcW w:w="6804" w:type="dxa"/>
            <w:shd w:val="clear" w:color="auto" w:fill="auto"/>
            <w:vAlign w:val="center"/>
          </w:tcPr>
          <w:p>
            <w:pPr>
              <w:pStyle w:val="31"/>
              <w:jc w:val="left"/>
            </w:pPr>
            <w:r>
              <w:rPr>
                <w:rFonts w:hint="eastAsia"/>
              </w:rPr>
              <w:t>化学氧化预处理：臭氧、氯、高锰酸钾、二氧化氯、活性炭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3" w:type="dxa"/>
            <w:shd w:val="clear" w:color="auto" w:fill="auto"/>
            <w:vAlign w:val="center"/>
          </w:tcPr>
          <w:p>
            <w:pPr>
              <w:pStyle w:val="31"/>
            </w:pPr>
            <w:r>
              <w:rPr>
                <w:rFonts w:hint="eastAsia"/>
              </w:rPr>
              <w:t>氟化物</w:t>
            </w:r>
          </w:p>
        </w:tc>
        <w:tc>
          <w:tcPr>
            <w:tcW w:w="6804" w:type="dxa"/>
            <w:shd w:val="clear" w:color="auto" w:fill="auto"/>
            <w:vAlign w:val="center"/>
          </w:tcPr>
          <w:p>
            <w:pPr>
              <w:pStyle w:val="31"/>
              <w:jc w:val="left"/>
            </w:pPr>
            <w:r>
              <w:rPr>
                <w:rFonts w:hint="eastAsia"/>
              </w:rPr>
              <w:t>吸附法：氧化铝、磷酸二钙；混凝沉淀法：硫酸铝、聚合氯化铝；离子交换法；电渗析法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3" w:type="dxa"/>
            <w:shd w:val="clear" w:color="auto" w:fill="auto"/>
            <w:vAlign w:val="center"/>
          </w:tcPr>
          <w:p>
            <w:pPr>
              <w:pStyle w:val="31"/>
            </w:pPr>
            <w:r>
              <w:rPr>
                <w:rFonts w:hint="eastAsia"/>
              </w:rPr>
              <w:t>氨氮</w:t>
            </w:r>
          </w:p>
        </w:tc>
        <w:tc>
          <w:tcPr>
            <w:tcW w:w="6804" w:type="dxa"/>
            <w:shd w:val="clear" w:color="auto" w:fill="auto"/>
            <w:vAlign w:val="center"/>
          </w:tcPr>
          <w:p>
            <w:pPr>
              <w:pStyle w:val="31"/>
              <w:jc w:val="left"/>
            </w:pPr>
            <w:r>
              <w:rPr>
                <w:rFonts w:hint="eastAsia"/>
              </w:rPr>
              <w:t>化学氧化预处理：氯、高锰酸钾；深度处理：臭氧-生物活性炭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3" w:type="dxa"/>
            <w:shd w:val="clear" w:color="auto" w:fill="auto"/>
            <w:vAlign w:val="center"/>
          </w:tcPr>
          <w:p>
            <w:pPr>
              <w:pStyle w:val="31"/>
            </w:pPr>
            <w:r>
              <w:rPr>
                <w:rFonts w:hint="eastAsia"/>
              </w:rPr>
              <w:t>铁、锰</w:t>
            </w:r>
          </w:p>
        </w:tc>
        <w:tc>
          <w:tcPr>
            <w:tcW w:w="6804" w:type="dxa"/>
            <w:shd w:val="clear" w:color="auto" w:fill="auto"/>
            <w:vAlign w:val="center"/>
          </w:tcPr>
          <w:p>
            <w:pPr>
              <w:pStyle w:val="31"/>
              <w:jc w:val="left"/>
            </w:pPr>
            <w:r>
              <w:rPr>
                <w:rFonts w:hint="eastAsia"/>
              </w:rPr>
              <w:t>锰砂；化学氧化预处理：氯、高锰酸钾；深度处理：臭氧-生物活性炭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3" w:type="dxa"/>
            <w:shd w:val="clear" w:color="auto" w:fill="auto"/>
            <w:vAlign w:val="center"/>
          </w:tcPr>
          <w:p>
            <w:pPr>
              <w:pStyle w:val="31"/>
            </w:pPr>
            <w:r>
              <w:rPr>
                <w:rFonts w:hint="eastAsia"/>
              </w:rPr>
              <w:t>挥发性有机物</w:t>
            </w:r>
          </w:p>
        </w:tc>
        <w:tc>
          <w:tcPr>
            <w:tcW w:w="6804" w:type="dxa"/>
            <w:shd w:val="clear" w:color="auto" w:fill="auto"/>
            <w:vAlign w:val="center"/>
          </w:tcPr>
          <w:p>
            <w:pPr>
              <w:pStyle w:val="31"/>
              <w:jc w:val="left"/>
            </w:pPr>
            <w:r>
              <w:rPr>
                <w:rFonts w:hint="eastAsia"/>
              </w:rPr>
              <w:t>生物活性炭吸附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3" w:type="dxa"/>
            <w:shd w:val="clear" w:color="auto" w:fill="auto"/>
            <w:vAlign w:val="center"/>
          </w:tcPr>
          <w:p>
            <w:pPr>
              <w:pStyle w:val="31"/>
            </w:pPr>
            <w:r>
              <w:rPr>
                <w:rFonts w:hint="eastAsia"/>
              </w:rPr>
              <w:t>三氯甲烷和腐殖酸</w:t>
            </w:r>
          </w:p>
        </w:tc>
        <w:tc>
          <w:tcPr>
            <w:tcW w:w="6804" w:type="dxa"/>
            <w:shd w:val="clear" w:color="auto" w:fill="auto"/>
            <w:vAlign w:val="center"/>
          </w:tcPr>
          <w:p>
            <w:pPr>
              <w:pStyle w:val="31"/>
              <w:jc w:val="left"/>
            </w:pPr>
            <w:r>
              <w:rPr>
                <w:rFonts w:hint="eastAsia"/>
              </w:rPr>
              <w:t>前驱物的去除：强化混凝、粒状活性炭、生物活性炭；氯化副产物的去除：粒状活性炭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3" w:type="dxa"/>
            <w:shd w:val="clear" w:color="auto" w:fill="auto"/>
            <w:vAlign w:val="center"/>
          </w:tcPr>
          <w:p>
            <w:pPr>
              <w:pStyle w:val="31"/>
            </w:pPr>
            <w:r>
              <w:rPr>
                <w:rFonts w:hint="eastAsia"/>
              </w:rPr>
              <w:t>有机化合物</w:t>
            </w:r>
          </w:p>
        </w:tc>
        <w:tc>
          <w:tcPr>
            <w:tcW w:w="6804" w:type="dxa"/>
            <w:shd w:val="clear" w:color="auto" w:fill="auto"/>
            <w:vAlign w:val="center"/>
          </w:tcPr>
          <w:p>
            <w:pPr>
              <w:pStyle w:val="31"/>
              <w:jc w:val="left"/>
            </w:pPr>
            <w:r>
              <w:rPr>
                <w:rFonts w:hint="eastAsia"/>
              </w:rPr>
              <w:t>生物活性炭、膜处理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63" w:type="dxa"/>
            <w:shd w:val="clear" w:color="auto" w:fill="auto"/>
            <w:vAlign w:val="center"/>
          </w:tcPr>
          <w:p>
            <w:pPr>
              <w:pStyle w:val="31"/>
            </w:pPr>
            <w:r>
              <w:rPr>
                <w:rFonts w:hint="eastAsia"/>
              </w:rPr>
              <w:t>细菌和病毒</w:t>
            </w:r>
          </w:p>
        </w:tc>
        <w:tc>
          <w:tcPr>
            <w:tcW w:w="6804" w:type="dxa"/>
            <w:shd w:val="clear" w:color="auto" w:fill="auto"/>
            <w:vAlign w:val="center"/>
          </w:tcPr>
          <w:p>
            <w:pPr>
              <w:pStyle w:val="31"/>
              <w:jc w:val="left"/>
            </w:pPr>
            <w:r>
              <w:rPr>
                <w:rFonts w:hint="eastAsia"/>
              </w:rPr>
              <w:t>过滤（部分去除）；消毒处理：氯、二氧化氯、臭氧、膜处理、紫外</w:t>
            </w:r>
            <w:r>
              <w:rPr>
                <w:rFonts w:hint="eastAsia"/>
                <w:lang w:eastAsia="zh-CN"/>
              </w:rPr>
              <w:t>线</w:t>
            </w:r>
            <w:bookmarkStart w:id="79" w:name="_GoBack"/>
            <w:bookmarkEnd w:id="79"/>
            <w:r>
              <w:rPr>
                <w:rFonts w:hint="eastAsia"/>
              </w:rPr>
              <w:t>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3" w:type="dxa"/>
            <w:shd w:val="clear" w:color="auto" w:fill="auto"/>
            <w:vAlign w:val="center"/>
          </w:tcPr>
          <w:p>
            <w:pPr>
              <w:pStyle w:val="31"/>
            </w:pPr>
            <w:r>
              <w:rPr>
                <w:rFonts w:hint="eastAsia"/>
              </w:rPr>
              <w:t>汞、铬等部分重金属（应急状态）</w:t>
            </w:r>
          </w:p>
        </w:tc>
        <w:tc>
          <w:tcPr>
            <w:tcW w:w="6804" w:type="dxa"/>
            <w:shd w:val="clear" w:color="auto" w:fill="auto"/>
            <w:vAlign w:val="center"/>
          </w:tcPr>
          <w:p>
            <w:pPr>
              <w:pStyle w:val="31"/>
              <w:jc w:val="left"/>
            </w:pPr>
            <w:r>
              <w:rPr>
                <w:rFonts w:hint="eastAsia"/>
              </w:rPr>
              <w:t>氧化法：高锰酸钾；生物活性炭吸附（部分去除）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3" w:type="dxa"/>
            <w:shd w:val="clear" w:color="auto" w:fill="auto"/>
            <w:vAlign w:val="center"/>
          </w:tcPr>
          <w:p>
            <w:pPr>
              <w:pStyle w:val="31"/>
            </w:pPr>
            <w:r>
              <w:rPr>
                <w:rFonts w:hint="eastAsia"/>
              </w:rPr>
              <w:t>藻类及藻毒素</w:t>
            </w:r>
          </w:p>
        </w:tc>
        <w:tc>
          <w:tcPr>
            <w:tcW w:w="6804" w:type="dxa"/>
            <w:shd w:val="clear" w:color="auto" w:fill="auto"/>
            <w:vAlign w:val="center"/>
          </w:tcPr>
          <w:p>
            <w:pPr>
              <w:pStyle w:val="31"/>
              <w:jc w:val="left"/>
            </w:pPr>
            <w:r>
              <w:rPr>
                <w:rFonts w:hint="eastAsia"/>
              </w:rPr>
              <w:t>化学氧化预处理：除藻剂法、高锰酸钾、氯；微滤法；气浮法；臭氧氧化法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3" w:type="dxa"/>
            <w:shd w:val="clear" w:color="auto" w:fill="auto"/>
            <w:vAlign w:val="center"/>
          </w:tcPr>
          <w:p>
            <w:pPr>
              <w:pStyle w:val="31"/>
            </w:pPr>
            <w:r>
              <w:rPr>
                <w:rFonts w:hint="eastAsia"/>
              </w:rPr>
              <w:t>矿物油类</w:t>
            </w:r>
          </w:p>
        </w:tc>
        <w:tc>
          <w:tcPr>
            <w:tcW w:w="6804" w:type="dxa"/>
            <w:shd w:val="clear" w:color="auto" w:fill="auto"/>
            <w:vAlign w:val="center"/>
          </w:tcPr>
          <w:p>
            <w:pPr>
              <w:pStyle w:val="31"/>
              <w:jc w:val="left"/>
            </w:pPr>
            <w:r>
              <w:rPr>
                <w:rFonts w:hint="eastAsia"/>
              </w:rPr>
              <w:t>应急处置时可关闭闸门或用简易坝、围油栏等围隔污染区，用吸油棉等高吸油材料现场吸附，并转移到安全地方焚烧处理。必要时可点燃表层油燃烧处理，污染水体最后用活性炭吸附处理。</w:t>
            </w:r>
          </w:p>
        </w:tc>
      </w:tr>
    </w:tbl>
    <w:p>
      <w:pPr>
        <w:pStyle w:val="38"/>
        <w:spacing w:before="120" w:after="120"/>
        <w:ind w:firstLine="562"/>
      </w:pPr>
      <w:r>
        <w:rPr>
          <w:rFonts w:hint="eastAsia"/>
        </w:rPr>
        <w:t>3.6.4供水安全保障</w:t>
      </w:r>
    </w:p>
    <w:p>
      <w:pPr>
        <w:ind w:firstLine="560"/>
      </w:pPr>
      <w:r>
        <w:rPr>
          <w:rFonts w:hint="eastAsia"/>
        </w:rPr>
        <w:t>1、信息共享</w:t>
      </w:r>
    </w:p>
    <w:p>
      <w:pPr>
        <w:ind w:firstLine="560"/>
      </w:pPr>
      <w:r>
        <w:rPr>
          <w:rFonts w:hint="eastAsia"/>
        </w:rPr>
        <w:t>生态环境、水利、公安、卫生等部门、供水企业等单位应建立联动机制，制定联动方案，共享水源地水质变化信息、取水信息、供水水质信息，共同应对饮用水水源地突发环境事件。</w:t>
      </w:r>
    </w:p>
    <w:p>
      <w:pPr>
        <w:ind w:firstLine="560"/>
      </w:pPr>
      <w:r>
        <w:rPr>
          <w:rFonts w:hint="eastAsia"/>
        </w:rPr>
        <w:t>2、取水安全保障</w:t>
      </w:r>
    </w:p>
    <w:p>
      <w:pPr>
        <w:ind w:firstLine="560"/>
      </w:pPr>
      <w:r>
        <w:rPr>
          <w:rFonts w:hint="eastAsia"/>
        </w:rPr>
        <w:t>休宁县各水厂对取水口进行整治，确保水质安全。完善调水、补水、停水方案，强化在线监控，增加应急监测指标等方式，提高取水安全保障能力。</w:t>
      </w:r>
    </w:p>
    <w:p>
      <w:pPr>
        <w:ind w:firstLine="560"/>
      </w:pPr>
      <w:r>
        <w:rPr>
          <w:rFonts w:hint="eastAsia"/>
        </w:rPr>
        <w:t>3、供水安全保障</w:t>
      </w:r>
    </w:p>
    <w:p>
      <w:pPr>
        <w:ind w:firstLine="560"/>
      </w:pPr>
      <w:r>
        <w:rPr>
          <w:rFonts w:hint="eastAsia"/>
        </w:rPr>
        <w:t>休宁县各水厂负责水厂供水安全，通过储备必要的应急物资，深化处理工艺，供水管线改造，分功能供水，规范停止取水、中断供水管理等措施，提高供水安全保障能力。在污染能够通过供水企业治理达标的情况下，尽量不停止供水；或通过管道管理只停止饮用水供应，尽量减少对居民其他用水和社会经济活动的影响。</w:t>
      </w:r>
    </w:p>
    <w:p>
      <w:pPr>
        <w:pStyle w:val="37"/>
      </w:pPr>
      <w:bookmarkStart w:id="47" w:name="_Toc153869663"/>
      <w:r>
        <w:rPr>
          <w:rFonts w:hint="eastAsia"/>
        </w:rPr>
        <w:t>3.7物资调集及应急设施启用</w:t>
      </w:r>
      <w:bookmarkEnd w:id="47"/>
    </w:p>
    <w:p>
      <w:pPr>
        <w:ind w:firstLine="560"/>
      </w:pPr>
      <w:r>
        <w:rPr>
          <w:rFonts w:hint="eastAsia"/>
        </w:rPr>
        <w:t>应急物资大部分依托县水源地应急指挥部各成员单位以及企业现有应急物资，事故发生时县水源地应急指挥部通过合理调配附近成员单位以及企业应急物资进行事故应急处置。目前休宁县环境应急物资依托休宁县各应急设施及应急救援物资储备。</w:t>
      </w:r>
    </w:p>
    <w:p>
      <w:pPr>
        <w:ind w:firstLine="560"/>
      </w:pPr>
      <w:r>
        <w:rPr>
          <w:rFonts w:hint="eastAsia"/>
        </w:rPr>
        <w:t>应急物资保障组会同当地应急管理、民政、交通运输等部门负责先期处置物资调集及应急设施启动，明确运输通道、方式和使用方法。</w:t>
      </w:r>
      <w:r>
        <w:t xml:space="preserve"> </w:t>
      </w:r>
    </w:p>
    <w:p>
      <w:pPr>
        <w:ind w:firstLine="560"/>
      </w:pPr>
      <w:r>
        <w:rPr>
          <w:rFonts w:hint="eastAsia"/>
        </w:rPr>
        <w:t>应急物资、装备和设施包括但不限于以下内容：</w:t>
      </w:r>
    </w:p>
    <w:p>
      <w:pPr>
        <w:ind w:firstLine="560"/>
      </w:pPr>
      <w:r>
        <w:rPr>
          <w:rFonts w:hint="eastAsia"/>
        </w:rPr>
        <w:t>1、对水体内污染物进行打捞和拦截的物资、装备和设施，本预案配备有救援打捞设备、油毡、围油栏、筑坝材料、溢出控制装备等。</w:t>
      </w:r>
    </w:p>
    <w:p>
      <w:pPr>
        <w:ind w:firstLine="560"/>
      </w:pPr>
      <w:r>
        <w:rPr>
          <w:rFonts w:hint="eastAsia"/>
        </w:rPr>
        <w:t>2、控制和消除污染物的物资、装备和设施，本预案配备有中和剂、灭火剂、解毒剂、吸收剂等。</w:t>
      </w:r>
    </w:p>
    <w:p>
      <w:pPr>
        <w:ind w:firstLine="560"/>
      </w:pPr>
      <w:r>
        <w:rPr>
          <w:rFonts w:hint="eastAsia"/>
        </w:rPr>
        <w:t>3、移除和拦截移动源的装备和设施，本预案配备有吊车、临时围堰、导流槽、应急池等。</w:t>
      </w:r>
    </w:p>
    <w:p>
      <w:pPr>
        <w:ind w:firstLine="560"/>
      </w:pPr>
      <w:r>
        <w:rPr>
          <w:rFonts w:hint="eastAsia"/>
        </w:rPr>
        <w:t>4、雨水口垃圾清运和拦截的装备和设施，本预案配备有格栅、清运车、临时设置的导流槽等。</w:t>
      </w:r>
    </w:p>
    <w:p>
      <w:pPr>
        <w:ind w:firstLine="560"/>
      </w:pPr>
      <w:r>
        <w:rPr>
          <w:rFonts w:hint="eastAsia"/>
        </w:rPr>
        <w:t>5、针对水华灾害，消除有毒有害物质产生条件、清除藻类的物资、装备和设施，如增氧机、除草船等。</w:t>
      </w:r>
    </w:p>
    <w:p>
      <w:pPr>
        <w:ind w:firstLine="560"/>
      </w:pPr>
      <w:r>
        <w:t>6</w:t>
      </w:r>
      <w:r>
        <w:rPr>
          <w:rFonts w:hint="eastAsia"/>
        </w:rPr>
        <w:t>、对污染物进行拦截、导流、分流及降解的应急工程设施，本预案配备有拦截坝、节制闸、导流渠、分流沟等。</w:t>
      </w:r>
    </w:p>
    <w:p>
      <w:pPr>
        <w:pStyle w:val="37"/>
      </w:pPr>
      <w:bookmarkStart w:id="48" w:name="_Toc153869664"/>
      <w:r>
        <w:rPr>
          <w:rFonts w:hint="eastAsia"/>
        </w:rPr>
        <w:t>3.8舆情监测与信息发布</w:t>
      </w:r>
      <w:bookmarkEnd w:id="48"/>
    </w:p>
    <w:p>
      <w:pPr>
        <w:ind w:firstLine="560"/>
      </w:pPr>
      <w:bookmarkStart w:id="49" w:name="_Hlk116164226"/>
      <w:r>
        <w:rPr>
          <w:rFonts w:hint="eastAsia"/>
        </w:rPr>
        <w:t>综合组在水源地突发环境事件发生后，通过县政府授权发布新闻稿、接受记者采访、举行新闻发布会、组织专家解读等方式，第一时间借助电视、广播、报纸、互联网、微信、公众告知等多种途径，主动、及时、准确、客观地向社会发布饮用水水源地突发环境事件和应对工作信息及事态最新情况，回应社会关切，澄清不实信息，正确引导社会舆论。信息发布内容包括事件原因、污染程度、影响范围、应对措施、需要公众配合采取的措施、公众防范常识和事件调查处理进展情况等。加强舆情监测，做好舆论引导工作。</w:t>
      </w:r>
    </w:p>
    <w:p>
      <w:pPr>
        <w:ind w:firstLine="560"/>
      </w:pPr>
      <w:r>
        <w:rPr>
          <w:rFonts w:hint="eastAsia"/>
        </w:rPr>
        <w:t>对于较复杂的事故，可分阶段发布。</w:t>
      </w:r>
    </w:p>
    <w:p>
      <w:pPr>
        <w:ind w:firstLine="560"/>
      </w:pPr>
      <w:r>
        <w:rPr>
          <w:rFonts w:hint="eastAsia"/>
        </w:rPr>
        <w:t>对于跨行政区域的饮用水水源地突发环境事件，可由其共同的上级政府发布。</w:t>
      </w:r>
    </w:p>
    <w:bookmarkEnd w:id="49"/>
    <w:p>
      <w:pPr>
        <w:pStyle w:val="37"/>
      </w:pPr>
      <w:bookmarkStart w:id="50" w:name="_Toc153869665"/>
      <w:r>
        <w:rPr>
          <w:rFonts w:hint="eastAsia"/>
        </w:rPr>
        <w:t>3.9响应终止</w:t>
      </w:r>
      <w:bookmarkEnd w:id="50"/>
    </w:p>
    <w:p>
      <w:pPr>
        <w:pStyle w:val="38"/>
        <w:spacing w:before="120" w:after="120"/>
        <w:ind w:firstLine="562"/>
      </w:pPr>
      <w:bookmarkStart w:id="51" w:name="_Hlk116164289"/>
      <w:r>
        <w:t>3.9.1</w:t>
      </w:r>
      <w:r>
        <w:rPr>
          <w:rFonts w:hint="eastAsia"/>
        </w:rPr>
        <w:t>应急终止条件</w:t>
      </w:r>
    </w:p>
    <w:bookmarkEnd w:id="51"/>
    <w:p>
      <w:pPr>
        <w:ind w:firstLine="560"/>
      </w:pPr>
      <w:r>
        <w:rPr>
          <w:rFonts w:hint="eastAsia"/>
        </w:rPr>
        <w:t>符合下列情形之一的，可终止应急响应。</w:t>
      </w:r>
    </w:p>
    <w:p>
      <w:pPr>
        <w:ind w:firstLine="560"/>
      </w:pPr>
      <w:r>
        <w:rPr>
          <w:rFonts w:hint="eastAsia"/>
        </w:rPr>
        <w:t>1、进入水源保护区陆域范围的污染物已成功围堵，且清运至水源保护区外，未向水域扩散时。</w:t>
      </w:r>
    </w:p>
    <w:p>
      <w:pPr>
        <w:ind w:firstLine="560"/>
      </w:pPr>
      <w:r>
        <w:t>2</w:t>
      </w:r>
      <w:r>
        <w:rPr>
          <w:rFonts w:hint="eastAsia"/>
        </w:rPr>
        <w:t>、进入水源保护区水域范围的污染团已成功拦截或导流至水源保护区外，没有向取水口扩散的风险，且水质监测结果稳定达标。</w:t>
      </w:r>
    </w:p>
    <w:p>
      <w:pPr>
        <w:ind w:firstLine="560"/>
      </w:pPr>
      <w:r>
        <w:rPr>
          <w:rFonts w:hint="eastAsia"/>
        </w:rPr>
        <w:t>3、水质监测结果尚未稳定达标，但根据应急专家组建议可恢复正常取水时。</w:t>
      </w:r>
    </w:p>
    <w:p>
      <w:pPr>
        <w:pStyle w:val="38"/>
        <w:spacing w:before="120" w:after="120"/>
        <w:ind w:firstLine="562"/>
      </w:pPr>
      <w:r>
        <w:rPr>
          <w:rFonts w:hint="eastAsia"/>
        </w:rPr>
        <w:t>3</w:t>
      </w:r>
      <w:r>
        <w:t>.9.2</w:t>
      </w:r>
      <w:r>
        <w:rPr>
          <w:rFonts w:hint="eastAsia"/>
        </w:rPr>
        <w:t>应急终止程序</w:t>
      </w:r>
    </w:p>
    <w:p>
      <w:pPr>
        <w:ind w:firstLine="560"/>
      </w:pPr>
      <w:r>
        <w:rPr>
          <w:rFonts w:hint="eastAsia"/>
        </w:rPr>
        <w:t>1、现场应急指挥部确认终止时机；或责任单位提出终止申请，经现场指挥部批准；</w:t>
      </w:r>
    </w:p>
    <w:p>
      <w:pPr>
        <w:ind w:firstLine="560"/>
      </w:pPr>
      <w:r>
        <w:rPr>
          <w:rFonts w:hint="eastAsia"/>
        </w:rPr>
        <w:t>2、现场指挥部向启动应急响应的政府提出响应终止建议；</w:t>
      </w:r>
    </w:p>
    <w:p>
      <w:pPr>
        <w:ind w:firstLine="560"/>
      </w:pPr>
      <w:r>
        <w:rPr>
          <w:rFonts w:hint="eastAsia"/>
        </w:rPr>
        <w:t>3、启动应急响应的政府下达响应终止命令；</w:t>
      </w:r>
    </w:p>
    <w:p>
      <w:pPr>
        <w:ind w:firstLine="560"/>
      </w:pPr>
      <w:r>
        <w:rPr>
          <w:rFonts w:hint="eastAsia"/>
        </w:rPr>
        <w:t>应急状态终止后，相关类别环境事件专业应急救援队伍应根据现场应急指挥部有关指示和现场实际情况，继续进行环境监测和评价工作，直至其他补救措施无需继续进行为止。</w:t>
      </w:r>
    </w:p>
    <w:p>
      <w:pPr>
        <w:widowControl/>
        <w:spacing w:line="240" w:lineRule="auto"/>
        <w:ind w:firstLine="0" w:firstLineChars="0"/>
        <w:jc w:val="left"/>
      </w:pPr>
      <w:r>
        <w:br w:type="page"/>
      </w:r>
    </w:p>
    <w:p>
      <w:pPr>
        <w:pStyle w:val="2"/>
      </w:pPr>
      <w:bookmarkStart w:id="52" w:name="_Toc153869666"/>
      <w:r>
        <w:rPr>
          <w:rFonts w:hint="eastAsia"/>
        </w:rPr>
        <w:t>4后期工作</w:t>
      </w:r>
      <w:bookmarkEnd w:id="52"/>
    </w:p>
    <w:p>
      <w:pPr>
        <w:ind w:firstLine="560"/>
      </w:pPr>
      <w:bookmarkStart w:id="53" w:name="_Hlk116164318"/>
      <w:r>
        <w:rPr>
          <w:rFonts w:hint="eastAsia"/>
        </w:rPr>
        <w:t>饮用水水源地突发环境事件应急终止后，由县政府牵头、县生态环境局、县应急管理局、县自然资源和规划局、县农业农村水利局等单位组成的善后处置组研究制定善后污染防控内容和工作要点，根据不同污染类型，组织开展善后处置工作，并组织对事件起因调查，开展损害评估和理赔等后期工作。</w:t>
      </w:r>
    </w:p>
    <w:bookmarkEnd w:id="53"/>
    <w:p>
      <w:pPr>
        <w:pStyle w:val="37"/>
      </w:pPr>
      <w:bookmarkStart w:id="54" w:name="_Toc153869667"/>
      <w:r>
        <w:rPr>
          <w:rFonts w:hint="eastAsia"/>
        </w:rPr>
        <w:t>4.1后期防控</w:t>
      </w:r>
      <w:bookmarkEnd w:id="54"/>
    </w:p>
    <w:p>
      <w:pPr>
        <w:ind w:firstLine="560"/>
      </w:pPr>
      <w:bookmarkStart w:id="55" w:name="_Hlk116164352"/>
      <w:r>
        <w:rPr>
          <w:rFonts w:hint="eastAsia"/>
        </w:rPr>
        <w:t>水源地突发环境事件应急响应终止后，县水源地应急指挥部应组织应急监测队伍进行后期污染监测；组织专家制定后期污染治理方案，消除投放药剂的残留毒性和后期效应，防止次生突发环境事件；事件处理过程中产生的二次污染物应采取措施妥善、合法处置。</w:t>
      </w:r>
    </w:p>
    <w:p>
      <w:pPr>
        <w:ind w:firstLine="560"/>
      </w:pPr>
      <w:r>
        <w:rPr>
          <w:rFonts w:hint="eastAsia"/>
        </w:rPr>
        <w:t>1、事故废水污染物</w:t>
      </w:r>
    </w:p>
    <w:p>
      <w:pPr>
        <w:ind w:firstLine="560"/>
      </w:pPr>
      <w:r>
        <w:rPr>
          <w:rFonts w:hint="eastAsia"/>
        </w:rPr>
        <w:t>事故处置过程产生的废水污染物收集后由县生态环境分局委托有处理能力的单位处理达标后排放；事故处置过程产生的固体废物需妥善安全暂存，委托有处置能力的单位妥善处置，若为危险废物须交由有资质单位安全处置。</w:t>
      </w:r>
    </w:p>
    <w:p>
      <w:pPr>
        <w:ind w:firstLine="560"/>
      </w:pPr>
      <w:r>
        <w:rPr>
          <w:rFonts w:hint="eastAsia"/>
        </w:rPr>
        <w:t>2、遗漏的油品、化学品的净化和洗消</w:t>
      </w:r>
    </w:p>
    <w:p>
      <w:pPr>
        <w:ind w:firstLine="560"/>
      </w:pPr>
      <w:r>
        <w:rPr>
          <w:rFonts w:hint="eastAsia"/>
        </w:rPr>
        <w:t>油品、化学品能重新利用的则应回收再利用；</w:t>
      </w:r>
    </w:p>
    <w:p>
      <w:pPr>
        <w:ind w:firstLine="560"/>
      </w:pPr>
      <w:r>
        <w:rPr>
          <w:rFonts w:hint="eastAsia"/>
        </w:rPr>
        <w:t>不能重新利用的，可交有资质单位处置；农药等毒性物质交与有资质的危险废物处理的单位净化处置。</w:t>
      </w:r>
    </w:p>
    <w:p>
      <w:pPr>
        <w:ind w:firstLine="560"/>
      </w:pPr>
      <w:r>
        <w:rPr>
          <w:rFonts w:hint="eastAsia"/>
        </w:rPr>
        <w:t>化学消毒法，把消毒剂水溶液装于消防车水罐，经消防泵加压后，通过水带、水枪以开花或喷雾水流喷洒。</w:t>
      </w:r>
    </w:p>
    <w:p>
      <w:pPr>
        <w:ind w:firstLine="560"/>
      </w:pPr>
      <w:r>
        <w:rPr>
          <w:rFonts w:hint="eastAsia"/>
        </w:rPr>
        <w:t>物理消毒法，即用吸附垫、活性炭等具有吸附能力的物质，吸附回收后转移委托有资质单位处置。也可用喷射雾状水进行稀释降毒。</w:t>
      </w:r>
    </w:p>
    <w:p>
      <w:pPr>
        <w:ind w:firstLine="560"/>
      </w:pPr>
      <w:r>
        <w:rPr>
          <w:rFonts w:hint="eastAsia"/>
        </w:rPr>
        <w:t>3、被油品化学品污染的河道或水库岸线</w:t>
      </w:r>
    </w:p>
    <w:p>
      <w:pPr>
        <w:ind w:firstLine="560"/>
      </w:pPr>
      <w:r>
        <w:rPr>
          <w:rFonts w:hint="eastAsia"/>
        </w:rPr>
        <w:t>污染产生的死鱼、动物等打捞收集，并在保护区外远离住房、道路、水源、农田、电线等僻静和地势高的合适地点消毒填埋处理；</w:t>
      </w:r>
    </w:p>
    <w:p>
      <w:pPr>
        <w:ind w:firstLine="560"/>
      </w:pPr>
      <w:r>
        <w:rPr>
          <w:rFonts w:hint="eastAsia"/>
        </w:rPr>
        <w:t>洒消油剂或吸附剂进行消除；</w:t>
      </w:r>
    </w:p>
    <w:p>
      <w:pPr>
        <w:ind w:firstLine="560"/>
      </w:pPr>
      <w:r>
        <w:rPr>
          <w:rFonts w:hint="eastAsia"/>
        </w:rPr>
        <w:t>使用刷子或吸尘器除去一些颗粒性污染物，或使用简单工具收集被污染沙石至容器内，按危险固废处置。</w:t>
      </w:r>
    </w:p>
    <w:p>
      <w:pPr>
        <w:ind w:firstLine="560"/>
      </w:pPr>
      <w:r>
        <w:rPr>
          <w:rFonts w:hint="eastAsia"/>
        </w:rPr>
        <w:t>4、被污染的土壤</w:t>
      </w:r>
    </w:p>
    <w:p>
      <w:pPr>
        <w:ind w:firstLine="560"/>
      </w:pPr>
      <w:r>
        <w:rPr>
          <w:rFonts w:hint="eastAsia"/>
        </w:rPr>
        <w:t>使用简单工具将表层剥离装入容器，并委托危废处置单位安全处置；若环境不允许挖掘或清除大量土壤时，可使用物理、化学或生物方法消除，如对地表封闭处理、地下水位高的地方使用注水法使水位上升，收集从地表溢出的水、让土壤保持休闲或通过翻耕促进蒸发的自然降解法。</w:t>
      </w:r>
    </w:p>
    <w:p>
      <w:pPr>
        <w:ind w:firstLine="560"/>
      </w:pPr>
      <w:r>
        <w:t>5</w:t>
      </w:r>
      <w:r>
        <w:rPr>
          <w:rFonts w:hint="eastAsia"/>
        </w:rPr>
        <w:t>、水藻暴发污染</w:t>
      </w:r>
    </w:p>
    <w:p>
      <w:pPr>
        <w:ind w:firstLine="560"/>
      </w:pPr>
      <w:r>
        <w:rPr>
          <w:rFonts w:hint="eastAsia"/>
        </w:rPr>
        <w:t>藻类捕捞后运送到保护区外指定场所堆放，并采用沼气发生池、搅拌发酵、除臭分解等无害化处理手段，使之成为可利用的能源或有机肥料。采用生物技术的方法：</w:t>
      </w:r>
    </w:p>
    <w:p>
      <w:pPr>
        <w:ind w:firstLine="560"/>
      </w:pPr>
      <w:r>
        <w:rPr>
          <w:rFonts w:hint="eastAsia"/>
        </w:rPr>
        <w:t>（1）生物过滤技术：双壳软体动物、甲壳类浮游动物及大型滤食性鱼类可起到过滤器作用，螺蚌等贝壳类动物和大量的底栖动物，消耗着大量剩下和留下来的枝叶、残体、尸体和排泄物，将水中浮游藻类和悬浮污染物进行生物过滤使水质变清。</w:t>
      </w:r>
    </w:p>
    <w:p>
      <w:pPr>
        <w:ind w:firstLine="560"/>
      </w:pPr>
      <w:r>
        <w:rPr>
          <w:rFonts w:hint="eastAsia"/>
        </w:rPr>
        <w:t>（2）生物操纵技术：操纵促进植食性鱼类（专门吃浮游生物的）生长，如鲢鱼、鳙鱼等，降低藻类生物量。</w:t>
      </w:r>
    </w:p>
    <w:p>
      <w:pPr>
        <w:ind w:firstLine="560"/>
      </w:pPr>
      <w:r>
        <w:t>6</w:t>
      </w:r>
      <w:r>
        <w:rPr>
          <w:rFonts w:hint="eastAsia"/>
        </w:rPr>
        <w:t>、参与现场应急的人员及工具</w:t>
      </w:r>
    </w:p>
    <w:p>
      <w:pPr>
        <w:ind w:firstLine="560"/>
      </w:pPr>
      <w:r>
        <w:rPr>
          <w:rFonts w:hint="eastAsia"/>
        </w:rPr>
        <w:t>装备人员洗消。为减少污染的扩大、杜绝二次污染，在处置过程中，要对警戒区作业人员、器材装备、进行彻底的洗消，消除危化品对人体和器材装备的侵害。</w:t>
      </w:r>
      <w:bookmarkEnd w:id="55"/>
    </w:p>
    <w:p>
      <w:pPr>
        <w:ind w:firstLine="560"/>
      </w:pPr>
      <w:r>
        <w:rPr>
          <w:rFonts w:hint="eastAsia"/>
        </w:rPr>
        <w:t>所有一次性的个人防护用品集中收集装入塑料袋或容器内按危险固体废物处置，其他防护用品和救援工具则应清洗后晾干保存。</w:t>
      </w:r>
    </w:p>
    <w:p>
      <w:pPr>
        <w:pStyle w:val="37"/>
      </w:pPr>
      <w:bookmarkStart w:id="56" w:name="_Toc153869668"/>
      <w:r>
        <w:rPr>
          <w:rFonts w:hint="eastAsia"/>
        </w:rPr>
        <w:t>4.2事件调查</w:t>
      </w:r>
      <w:bookmarkEnd w:id="56"/>
    </w:p>
    <w:p>
      <w:pPr>
        <w:ind w:firstLine="560"/>
      </w:pPr>
      <w:bookmarkStart w:id="57" w:name="_Hlk116164422"/>
      <w:r>
        <w:rPr>
          <w:rFonts w:hint="eastAsia"/>
        </w:rPr>
        <w:t>水源地突发环境事件发生后，根据《突发环境事件调查处理办法》等有关规定，由县生态环境分局牵头，会同相关部门组成调查组，组织开展事件调查工作，通过对监测数据进行污染源分析、明察暗访等方式查明事件原因和性质，评估事件影响，认定事件责任，提出整改防范措施和处理建议。</w:t>
      </w:r>
    </w:p>
    <w:p>
      <w:pPr>
        <w:ind w:firstLine="560"/>
      </w:pPr>
      <w:r>
        <w:rPr>
          <w:rFonts w:hint="eastAsia"/>
        </w:rPr>
        <w:t>1、事件调查。查明事件发生的直接和间接原因、事件发生的过程、损失情况等，并查明饮用水水源地范围内肇事企业事业单位、地方政府及有关部门在项目立项审批、生产经营过程中污染防范、日常监督管理、饮用水安全保障以及事件发生后应急处置过程中责任履行情况。根据调查资料和事件回放情况，调查组集体对事件进行定性。</w:t>
      </w:r>
    </w:p>
    <w:p>
      <w:pPr>
        <w:ind w:firstLine="560"/>
      </w:pPr>
      <w:r>
        <w:t>2</w:t>
      </w:r>
      <w:r>
        <w:rPr>
          <w:rFonts w:hint="eastAsia"/>
        </w:rPr>
        <w:t>、调查报告。事件调查形成调查报告，报告应包括事件起因、性质、损失、改进措施建议、责任认定和对责任者的处理意见等内容。</w:t>
      </w:r>
    </w:p>
    <w:p>
      <w:pPr>
        <w:ind w:firstLine="560"/>
      </w:pPr>
      <w:r>
        <w:rPr>
          <w:rFonts w:hint="eastAsia"/>
        </w:rPr>
        <w:t>根据调查结果，提出相应的整改防范措施和处理建议，避免同类型事故再次发生。根据调查和总结评估情况，向县水源地应急指挥中心提出风险源管理、水源地安全保障、预案管理等水源地安全的改进措施建议，不断提高水源地的环境安全水平。</w:t>
      </w:r>
    </w:p>
    <w:p>
      <w:pPr>
        <w:ind w:firstLine="560"/>
      </w:pPr>
      <w:r>
        <w:rPr>
          <w:rFonts w:hint="eastAsia"/>
        </w:rPr>
        <w:t>当事故的应急处置中出现应急能力不足、应急措施不到位等影响应急效果的情况时，应急责任部门应及时修订、完善应急体系。完善本预案应急响应流程。</w:t>
      </w:r>
      <w:bookmarkEnd w:id="57"/>
    </w:p>
    <w:p>
      <w:pPr>
        <w:pStyle w:val="37"/>
      </w:pPr>
      <w:bookmarkStart w:id="58" w:name="_Toc153869669"/>
      <w:r>
        <w:rPr>
          <w:rFonts w:hint="eastAsia"/>
        </w:rPr>
        <w:t>4.3损害评估</w:t>
      </w:r>
      <w:bookmarkEnd w:id="58"/>
    </w:p>
    <w:p>
      <w:pPr>
        <w:ind w:firstLine="560"/>
      </w:pPr>
      <w:bookmarkStart w:id="59" w:name="_Hlk116164499"/>
      <w:r>
        <w:rPr>
          <w:rFonts w:hint="eastAsia"/>
        </w:rPr>
        <w:t>饮用水水源地突发环境事件应急响应终止后，事发地相关部门应当在县政府的统一部署下，组织开展集中式饮用水水源地突发环境事件环境影响和损失等评估工作，并依法向有关政府报告，为事件调查处理、损害赔偿、环境修复和生态恢复重建等提供依据。</w:t>
      </w:r>
    </w:p>
    <w:bookmarkEnd w:id="59"/>
    <w:p>
      <w:pPr>
        <w:pStyle w:val="37"/>
      </w:pPr>
      <w:bookmarkStart w:id="60" w:name="_Toc153869670"/>
      <w:r>
        <w:rPr>
          <w:rFonts w:hint="eastAsia"/>
        </w:rPr>
        <w:t>4.4善后处置</w:t>
      </w:r>
      <w:bookmarkEnd w:id="60"/>
    </w:p>
    <w:p>
      <w:pPr>
        <w:ind w:firstLine="560"/>
      </w:pPr>
      <w:r>
        <w:rPr>
          <w:rFonts w:hint="eastAsia"/>
        </w:rPr>
        <w:t>县政府负责，事发地乡镇和有关部门配合，开展善后处置工作，内容包括损害赔偿、风险源整改和污染场地修复等具体工作方案。</w:t>
      </w:r>
    </w:p>
    <w:p>
      <w:pPr>
        <w:ind w:firstLine="560"/>
      </w:pPr>
      <w:r>
        <w:rPr>
          <w:rFonts w:hint="eastAsia"/>
        </w:rPr>
        <w:t>1、环境应急工作结束后，县生态环境分局应继续跟踪监测污染物的变化情况，直至稳定恢复。县卫健委要做好灾害事故现场的消毒与疫情的监控工作。在应急处置过程中征用的救治、救援物资，交通工具及设施、设备等，应依据有关标准和程序归还，对一次性或损坏的应急用品给予补偿。</w:t>
      </w:r>
    </w:p>
    <w:p>
      <w:pPr>
        <w:ind w:firstLine="560"/>
      </w:pPr>
      <w:r>
        <w:rPr>
          <w:rFonts w:hint="eastAsia"/>
        </w:rPr>
        <w:t>2、县水源地应急指挥部应组织有关专家对受灾范围进行科学评估，提出补偿和对受污染的生态环境进行恢复的建议、计划；协调处理污染赔偿和其他事项。</w:t>
      </w:r>
    </w:p>
    <w:p>
      <w:pPr>
        <w:ind w:firstLine="560"/>
      </w:pPr>
      <w:r>
        <w:t>3</w:t>
      </w:r>
      <w:r>
        <w:rPr>
          <w:rFonts w:hint="eastAsia"/>
        </w:rPr>
        <w:t>、县生态环境分局、应急管理局、住建局、农业农村水利局和事发地人民政府等单位根据损害评估及事件调查结果对风险源进行科学规范的整改、消除，对污染物进行清除，并对污染场地进行科学修复，恢复污染场地生态环境。</w:t>
      </w:r>
    </w:p>
    <w:p>
      <w:pPr>
        <w:widowControl/>
        <w:spacing w:line="240" w:lineRule="auto"/>
        <w:ind w:firstLine="0" w:firstLineChars="0"/>
        <w:jc w:val="left"/>
      </w:pPr>
      <w:r>
        <w:br w:type="page"/>
      </w:r>
    </w:p>
    <w:p>
      <w:pPr>
        <w:pStyle w:val="2"/>
      </w:pPr>
      <w:bookmarkStart w:id="61" w:name="_Toc153869671"/>
      <w:r>
        <w:rPr>
          <w:rFonts w:hint="eastAsia"/>
        </w:rPr>
        <w:t>5应急保障</w:t>
      </w:r>
      <w:bookmarkEnd w:id="61"/>
    </w:p>
    <w:p>
      <w:pPr>
        <w:pStyle w:val="37"/>
      </w:pPr>
      <w:bookmarkStart w:id="62" w:name="_Toc153869672"/>
      <w:r>
        <w:rPr>
          <w:rFonts w:hint="eastAsia"/>
        </w:rPr>
        <w:t>5.1通讯与信息保障</w:t>
      </w:r>
      <w:bookmarkEnd w:id="62"/>
    </w:p>
    <w:p>
      <w:pPr>
        <w:ind w:firstLine="560"/>
      </w:pPr>
      <w:bookmarkStart w:id="63" w:name="_Hlk116164650"/>
      <w:r>
        <w:rPr>
          <w:rFonts w:hint="eastAsia"/>
        </w:rPr>
        <w:t>县水源地应急指挥部与各成员单位应建立和完善通信联络系统，县水源地应急指挥部各成员单位应将应急队伍联系人、联系电话报协调办公室备案，协调办公室汇总后下发水源地突发环境事件应急组织机构通讯录。</w:t>
      </w:r>
    </w:p>
    <w:p>
      <w:pPr>
        <w:ind w:firstLine="560"/>
      </w:pPr>
      <w:r>
        <w:rPr>
          <w:rFonts w:hint="eastAsia"/>
        </w:rPr>
        <w:t>应急队伍相关人员熟悉应急参与部门、人员的联系方式，以及能快速通知上级应急单位和外部应急机构的通讯信息，通过手机及内部电话通信。</w:t>
      </w:r>
    </w:p>
    <w:p>
      <w:pPr>
        <w:ind w:firstLine="560"/>
      </w:pPr>
      <w:r>
        <w:rPr>
          <w:rFonts w:hint="eastAsia"/>
        </w:rPr>
        <w:t>协调办公室负责应急组织机构通信录的动态更新工作，及时更新调整各工作组的变动人员及通讯信息。</w:t>
      </w:r>
      <w:bookmarkEnd w:id="63"/>
      <w:r>
        <w:rPr>
          <w:rFonts w:hint="eastAsia"/>
        </w:rPr>
        <w:t>配备必要的有线、无线通信器材，确保本预案启动时突发环境事件应急指挥部和有关部门及现场应急队伍间的联络畅通。</w:t>
      </w:r>
    </w:p>
    <w:p>
      <w:pPr>
        <w:pStyle w:val="37"/>
      </w:pPr>
      <w:bookmarkStart w:id="64" w:name="_Toc153869673"/>
      <w:r>
        <w:rPr>
          <w:rFonts w:hint="eastAsia"/>
        </w:rPr>
        <w:t>5.2应急队伍保障</w:t>
      </w:r>
      <w:bookmarkEnd w:id="64"/>
    </w:p>
    <w:p>
      <w:pPr>
        <w:ind w:firstLine="560"/>
      </w:pPr>
      <w:bookmarkStart w:id="65" w:name="_Hlk116164840"/>
      <w:r>
        <w:rPr>
          <w:rFonts w:hint="eastAsia"/>
        </w:rPr>
        <w:t>由休宁县人民政府牵头，联合县政府相关部门，建立集中式饮用水水源地突发环境事件应急救援队伍，应急救援队伍应经过专业的应急救援培训、训练及演练，熟悉环境应急知识，充分掌握各类突发环境事件处置措施的预备应急力量，保证在处置突发环境事件中能迅速参与并完成抢救、排险、消毒、监测等现场处置工作。</w:t>
      </w:r>
    </w:p>
    <w:p>
      <w:pPr>
        <w:ind w:firstLine="560"/>
      </w:pPr>
      <w:r>
        <w:rPr>
          <w:rFonts w:hint="eastAsia"/>
        </w:rPr>
        <w:t>同时依托环保专业处置企业等社会化力量，建立社会化的环境应急救援队伍。</w:t>
      </w:r>
    </w:p>
    <w:p>
      <w:pPr>
        <w:ind w:firstLine="560"/>
      </w:pPr>
      <w:r>
        <w:rPr>
          <w:rFonts w:hint="eastAsia"/>
        </w:rPr>
        <w:t>加强应急队伍培训和演练。由县水源地应急指挥部根据应急队伍知识技能掌握程度，至少每年需进行一次知识技能培训，包括信息报告、个体防护、应急资源使用、应急监测布点及监测方法、应急处置方法等培训科目。每年需组织一次应急演练，发现不足及时改进，不断提高各部门协同作战能力。</w:t>
      </w:r>
    </w:p>
    <w:bookmarkEnd w:id="65"/>
    <w:p>
      <w:pPr>
        <w:pStyle w:val="37"/>
      </w:pPr>
      <w:bookmarkStart w:id="66" w:name="_Toc153869674"/>
      <w:r>
        <w:rPr>
          <w:rFonts w:hint="eastAsia"/>
        </w:rPr>
        <w:t>5.3应急资源保障</w:t>
      </w:r>
      <w:bookmarkEnd w:id="66"/>
    </w:p>
    <w:p>
      <w:pPr>
        <w:ind w:firstLine="560"/>
      </w:pPr>
      <w:bookmarkStart w:id="67" w:name="_Hlk116165240"/>
      <w:r>
        <w:rPr>
          <w:rFonts w:hint="eastAsia"/>
        </w:rPr>
        <w:t>县水源地应急指挥部各成员单位根据职责分工，组织做好环境应急物资紧急采购、储备调用、紧急配送工作，并做好本单位应急物资的更新及养护，保障应急处置和后续环境恢复需要。应根据事件和演练经验，持续改进药剂、物资、装备的规范存放，提高应急设施的建设要求，增加储备必要的应急处置、快速机动和自身防护装备和物资，维护、保养好应急仪器和设备，保持良好的技术状态，确保事件发生时能够快速高效的使用应急资源。</w:t>
      </w:r>
    </w:p>
    <w:bookmarkEnd w:id="67"/>
    <w:p>
      <w:pPr>
        <w:pStyle w:val="37"/>
      </w:pPr>
      <w:bookmarkStart w:id="68" w:name="_Toc153869675"/>
      <w:r>
        <w:rPr>
          <w:rFonts w:hint="eastAsia"/>
        </w:rPr>
        <w:t>5.4经费保障</w:t>
      </w:r>
      <w:bookmarkEnd w:id="68"/>
    </w:p>
    <w:p>
      <w:pPr>
        <w:ind w:firstLine="560"/>
      </w:pPr>
      <w:bookmarkStart w:id="69" w:name="_Hlk116165522"/>
      <w:r>
        <w:rPr>
          <w:rFonts w:hint="eastAsia"/>
        </w:rPr>
        <w:t>县政府为饮用水水源地突发环境事件应急处置工作提供资金保障，包括水源地应急预案编制、演练、修订及应急处置等费用；县财政局应当对饮用水水源突发环境事件应急工作和环境应急能力建设给予有力支持；抢险救援和污染处置费用由事件责任单位负责，在处置工作结束后与事件责任单位结算。</w:t>
      </w:r>
    </w:p>
    <w:p>
      <w:pPr>
        <w:ind w:firstLine="560"/>
      </w:pPr>
      <w:r>
        <w:rPr>
          <w:rFonts w:hint="eastAsia"/>
        </w:rPr>
        <w:t>休宁县有关部门根据饮用水水源地突发环境事件应急需要，提出项目支出预算报休宁县财政局审核后，呈休宁县人民政府批准后执行。</w:t>
      </w:r>
    </w:p>
    <w:bookmarkEnd w:id="69"/>
    <w:p>
      <w:pPr>
        <w:pStyle w:val="37"/>
      </w:pPr>
      <w:bookmarkStart w:id="70" w:name="_Toc153869676"/>
      <w:bookmarkStart w:id="71" w:name="_Hlk116165576"/>
      <w:r>
        <w:rPr>
          <w:rFonts w:hint="eastAsia"/>
        </w:rPr>
        <w:t>5.5其他保障</w:t>
      </w:r>
      <w:bookmarkEnd w:id="70"/>
    </w:p>
    <w:p>
      <w:pPr>
        <w:pStyle w:val="38"/>
        <w:spacing w:before="120" w:after="120"/>
        <w:ind w:firstLine="562"/>
      </w:pPr>
      <w:r>
        <w:rPr>
          <w:rFonts w:hint="eastAsia"/>
        </w:rPr>
        <w:t>5.5.1物资、设备设施运输保障</w:t>
      </w:r>
    </w:p>
    <w:p>
      <w:pPr>
        <w:ind w:firstLine="560"/>
      </w:pPr>
      <w:r>
        <w:rPr>
          <w:rFonts w:hint="eastAsia"/>
        </w:rPr>
        <w:t>县交通运输局根据应急指挥部的指令，负责保证应急处置状态下应急处置物资和设备设施的运输保障，应急交通工具优先安排、优先调度。</w:t>
      </w:r>
    </w:p>
    <w:p>
      <w:pPr>
        <w:ind w:firstLine="560"/>
      </w:pPr>
      <w:r>
        <w:rPr>
          <w:rFonts w:hint="eastAsia"/>
        </w:rPr>
        <w:t>县公安局负责保障道路畅通，必要时，依法对相关区域道路采取交通管制，确保应急物资、器材和人员及时到位，满足应急处置工作需要。</w:t>
      </w:r>
    </w:p>
    <w:p>
      <w:pPr>
        <w:ind w:firstLine="560"/>
      </w:pPr>
      <w:r>
        <w:rPr>
          <w:rFonts w:hint="eastAsia"/>
        </w:rPr>
        <w:t>县消防大队根据应急指挥部的指令，负责协助清理现场，调配消防车辆向供水重点保障区域和缺水区域应急送水。</w:t>
      </w:r>
    </w:p>
    <w:p>
      <w:pPr>
        <w:pStyle w:val="38"/>
        <w:spacing w:before="120" w:after="120"/>
        <w:ind w:firstLine="562"/>
      </w:pPr>
      <w:r>
        <w:rPr>
          <w:rFonts w:hint="eastAsia"/>
        </w:rPr>
        <w:t>5.5.2医疗卫生救助保障</w:t>
      </w:r>
    </w:p>
    <w:p>
      <w:pPr>
        <w:ind w:firstLine="560"/>
      </w:pPr>
      <w:r>
        <w:rPr>
          <w:rFonts w:hint="eastAsia"/>
        </w:rPr>
        <w:t>县卫健委负责完善应急救援机制，储备医疗救治、检测检验等卫生应急物资；负责对供水单位的卫生监督；开展水源水、出厂水、管网末梢水、二次供水的水质监测；应急指挥机构加强与医疗救治单位的沟通联系，及时报告医疗救治信息，落实救治经费，保证受伤人员得到及时救治，最大限度的减少人员伤亡。</w:t>
      </w:r>
    </w:p>
    <w:p>
      <w:pPr>
        <w:pStyle w:val="38"/>
        <w:spacing w:before="120" w:after="120"/>
        <w:ind w:firstLine="562"/>
      </w:pPr>
      <w:r>
        <w:rPr>
          <w:rFonts w:hint="eastAsia"/>
        </w:rPr>
        <w:t>5.5.3治安和人员安全保障</w:t>
      </w:r>
    </w:p>
    <w:p>
      <w:pPr>
        <w:ind w:firstLine="560"/>
      </w:pPr>
      <w:r>
        <w:rPr>
          <w:rFonts w:hint="eastAsia"/>
        </w:rPr>
        <w:t>发生饮用水源地突发环境事件时，县公安局根据现场应急指挥部指令，依据相关规定实施治安维护工作，及时做好人员疏散、现场控制、交通管制等工作，采取有力措施防止不法人员趁乱抢劫、盗窃或哄抢财物，依法打击破坏社会秩序的行为，维护社会稳定。</w:t>
      </w:r>
    </w:p>
    <w:p>
      <w:pPr>
        <w:ind w:firstLine="560"/>
      </w:pPr>
      <w:r>
        <w:rPr>
          <w:rFonts w:hint="eastAsia"/>
        </w:rPr>
        <w:t>县应急管理局、民政局根据现场应急指挥部的指令，组织协调受灾群众的安置和救助工作，并指导相关部门向群众分发救灾物资。</w:t>
      </w:r>
    </w:p>
    <w:p>
      <w:pPr>
        <w:ind w:firstLine="560"/>
      </w:pPr>
      <w:r>
        <w:rPr>
          <w:rFonts w:hint="eastAsia"/>
        </w:rPr>
        <w:t>现场处置人员应根据事件特征，配置相应的专业防护装备，采取安全防护措施，严格执行应急处置程序。</w:t>
      </w:r>
    </w:p>
    <w:p>
      <w:pPr>
        <w:pStyle w:val="38"/>
        <w:spacing w:before="120" w:after="120"/>
        <w:ind w:firstLine="562"/>
      </w:pPr>
      <w:r>
        <w:rPr>
          <w:rFonts w:hint="eastAsia"/>
        </w:rPr>
        <w:t>5.5.4社会动员保障</w:t>
      </w:r>
    </w:p>
    <w:p>
      <w:pPr>
        <w:ind w:firstLine="560"/>
      </w:pPr>
      <w:r>
        <w:rPr>
          <w:rFonts w:hint="eastAsia"/>
        </w:rPr>
        <w:t>事发地各乡镇人民政府制定社会动员方案，明确动员的条件、范围、程序和相关的保障措施，运用各种形式，将水源地突发环境事件发生和影响范围内的对象动员起来，共同参与和配合水源地突发环境事件的应急处置。</w:t>
      </w:r>
    </w:p>
    <w:bookmarkEnd w:id="71"/>
    <w:p>
      <w:pPr>
        <w:pStyle w:val="2"/>
      </w:pPr>
      <w:bookmarkStart w:id="72" w:name="_Toc153869677"/>
      <w:r>
        <w:rPr>
          <w:rFonts w:hint="eastAsia"/>
        </w:rPr>
        <w:t>6附则</w:t>
      </w:r>
      <w:bookmarkEnd w:id="72"/>
    </w:p>
    <w:p>
      <w:pPr>
        <w:pStyle w:val="37"/>
      </w:pPr>
      <w:bookmarkStart w:id="73" w:name="_Toc153869678"/>
      <w:r>
        <w:rPr>
          <w:rFonts w:hint="eastAsia"/>
        </w:rPr>
        <w:t>6.1名词术语</w:t>
      </w:r>
      <w:bookmarkEnd w:id="73"/>
    </w:p>
    <w:p>
      <w:pPr>
        <w:ind w:firstLine="560"/>
      </w:pPr>
      <w:r>
        <w:rPr>
          <w:rFonts w:hint="eastAsia"/>
        </w:rPr>
        <w:t>下列专用术语适用于本预案。</w:t>
      </w:r>
    </w:p>
    <w:p>
      <w:pPr>
        <w:ind w:firstLine="560"/>
      </w:pPr>
      <w:r>
        <w:rPr>
          <w:rFonts w:hint="eastAsia"/>
        </w:rPr>
        <w:t>1、集中式地表水饮用水水源地</w:t>
      </w:r>
    </w:p>
    <w:p>
      <w:pPr>
        <w:ind w:firstLine="560"/>
      </w:pPr>
      <w:r>
        <w:rPr>
          <w:rFonts w:hint="eastAsia"/>
        </w:rPr>
        <w:t>指进入输水管网、送到用户且具有一定取水规模（供水人口一般大于1000人）的在用、备用和规划的地表水饮用水水源地。依据取水口所在水体类型不同，可分为河流型水源地和湖泊（水库）型水源地。</w:t>
      </w:r>
    </w:p>
    <w:p>
      <w:pPr>
        <w:ind w:firstLine="560"/>
      </w:pPr>
      <w:r>
        <w:rPr>
          <w:rFonts w:hint="eastAsia"/>
        </w:rPr>
        <w:t>2、饮用水水源保护区</w:t>
      </w:r>
    </w:p>
    <w:p>
      <w:pPr>
        <w:ind w:firstLine="560"/>
      </w:pPr>
      <w:r>
        <w:rPr>
          <w:rFonts w:hint="eastAsia"/>
        </w:rPr>
        <w:t>指国家为防治饮用水水源地污染、保障水源地环境质量而划定，并要求加以特殊保护的一定面积的水域和陆域。饮用水水源保护区（以下简称水源保护区）分为一级保护区和二级保护区，必要时可在水源保护区外划定准保护区。</w:t>
      </w:r>
    </w:p>
    <w:p>
      <w:pPr>
        <w:ind w:firstLine="560"/>
      </w:pPr>
      <w:r>
        <w:rPr>
          <w:rFonts w:hint="eastAsia"/>
        </w:rPr>
        <w:t>3、饮用水水源地突发环境事件（以下简称水源地突发环境事件）</w:t>
      </w:r>
    </w:p>
    <w:p>
      <w:pPr>
        <w:ind w:firstLine="560"/>
      </w:pPr>
      <w:r>
        <w:rPr>
          <w:rFonts w:hint="eastAsia"/>
        </w:rPr>
        <w:t>指由于污染物排放或自然灾害、生产安全事故、交通运输事故等因素，导致水源地风险物质进入水源保护区或其上游的连接水体，突然造成或可能造成水源地水质超标，影响或可能影响饮用水供水单位（以下简称供水单位）正常取水，危及公众身体健康和财产安全，需要采取紧急措施予以应对的事件。</w:t>
      </w:r>
    </w:p>
    <w:p>
      <w:pPr>
        <w:ind w:firstLine="560"/>
      </w:pPr>
      <w:r>
        <w:rPr>
          <w:rFonts w:hint="eastAsia"/>
        </w:rPr>
        <w:t>4、水质超标</w:t>
      </w:r>
    </w:p>
    <w:p>
      <w:pPr>
        <w:ind w:firstLine="560"/>
      </w:pPr>
      <w:r>
        <w:rPr>
          <w:rFonts w:hint="eastAsia"/>
        </w:rPr>
        <w:t>指水源地水质超过《地表水环境质量标准》（GB 3838-2002）定的Ⅲ类水质标准或标准限值的要求。《地表水环境质量标准》（GB 3838-2002）包括的项目，可根据物质本身的危害特性和有关供水单位的净化能力，参考国外有关标准（如世界卫生组织、美国环境保护署等）规定的浓度值，由市、县级人民政府组织有关部门会商或依据应急专家组意见确定。</w:t>
      </w:r>
    </w:p>
    <w:p>
      <w:pPr>
        <w:ind w:firstLine="560"/>
      </w:pPr>
      <w:r>
        <w:rPr>
          <w:rFonts w:hint="eastAsia"/>
        </w:rPr>
        <w:t>5、流域性水污染事件</w:t>
      </w:r>
    </w:p>
    <w:p>
      <w:pPr>
        <w:ind w:firstLine="560"/>
      </w:pPr>
      <w:r>
        <w:rPr>
          <w:rFonts w:hint="eastAsia"/>
        </w:rPr>
        <w:t>指水体的富营养化。当藻类大量生长时，这些藻类常在下风头水面漂浮形成一层蓝绿色或红黄色的水花或薄膜--湖靛。虽然藻类生长很快，但因水中的营养盐被用尽，它们也很快的死亡。藻类大量死亡后，在腐败、被分解的过程中，也要消耗水中大量的溶解氧，并会上升至水面而形成一层绿色的黏质物，使水体严重恶臭。而造成水华现象的出现，主要原因还是水域沿线大量施用化肥、居民生活污水和工业废水大量排入江河湖泊，致使江河湖泊中氮、磷、钾等含量上升。</w:t>
      </w:r>
    </w:p>
    <w:p>
      <w:pPr>
        <w:ind w:firstLine="560"/>
      </w:pPr>
      <w:r>
        <w:rPr>
          <w:rFonts w:hint="eastAsia"/>
        </w:rPr>
        <w:t>6、固定源</w:t>
      </w:r>
    </w:p>
    <w:p>
      <w:pPr>
        <w:ind w:firstLine="560"/>
      </w:pPr>
      <w:r>
        <w:rPr>
          <w:rFonts w:hint="eastAsia"/>
        </w:rPr>
        <w:t>指排放有毒有害物质造成或可能因突发污染事件对饮用水水源造成严重环境危害的固定风险源，包括工矿企业事业单位、石油化工企业及运输石化、化工产品的管线、污（废）水处理厂、垃圾填埋场、危险品仓库、装卸码头等。</w:t>
      </w:r>
    </w:p>
    <w:p>
      <w:pPr>
        <w:ind w:firstLine="560"/>
      </w:pPr>
      <w:r>
        <w:rPr>
          <w:rFonts w:hint="eastAsia"/>
        </w:rPr>
        <w:t>7、流动源</w:t>
      </w:r>
    </w:p>
    <w:p>
      <w:pPr>
        <w:ind w:firstLine="560"/>
      </w:pPr>
      <w:r>
        <w:rPr>
          <w:rFonts w:hint="eastAsia"/>
        </w:rPr>
        <w:t>指运输危险化学品、危险废物及其他影响饮用水安全物质的车辆、船舶等交通工具，亦为流动污染源。</w:t>
      </w:r>
    </w:p>
    <w:p>
      <w:pPr>
        <w:ind w:firstLine="560"/>
      </w:pPr>
      <w:r>
        <w:rPr>
          <w:rFonts w:hint="eastAsia"/>
        </w:rPr>
        <w:t>8、非点源</w:t>
      </w:r>
    </w:p>
    <w:p>
      <w:pPr>
        <w:ind w:firstLine="560"/>
      </w:pPr>
      <w:r>
        <w:rPr>
          <w:rFonts w:hint="eastAsia"/>
        </w:rPr>
        <w:t>指各种农田和各种农业措施以及潮汛和水灾引起的大面积污染。</w:t>
      </w:r>
    </w:p>
    <w:p>
      <w:pPr>
        <w:pStyle w:val="37"/>
      </w:pPr>
      <w:bookmarkStart w:id="74" w:name="_Toc153869679"/>
      <w:r>
        <w:rPr>
          <w:rFonts w:hint="eastAsia"/>
        </w:rPr>
        <w:t>6.2预案解释权属</w:t>
      </w:r>
      <w:bookmarkEnd w:id="74"/>
    </w:p>
    <w:p>
      <w:pPr>
        <w:ind w:firstLine="560"/>
      </w:pPr>
      <w:r>
        <w:rPr>
          <w:rFonts w:hint="eastAsia"/>
        </w:rPr>
        <w:t>本预案解释权归属休宁县人民政府。</w:t>
      </w:r>
    </w:p>
    <w:p>
      <w:pPr>
        <w:pStyle w:val="37"/>
      </w:pPr>
      <w:bookmarkStart w:id="75" w:name="_Toc153869680"/>
      <w:r>
        <w:rPr>
          <w:rFonts w:hint="eastAsia"/>
        </w:rPr>
        <w:t>6.3预案演练和修订</w:t>
      </w:r>
      <w:bookmarkEnd w:id="75"/>
    </w:p>
    <w:p>
      <w:pPr>
        <w:pStyle w:val="38"/>
        <w:spacing w:before="120" w:after="120"/>
        <w:ind w:firstLine="562"/>
      </w:pPr>
      <w:bookmarkStart w:id="76" w:name="_Hlk116165699"/>
      <w:r>
        <w:rPr>
          <w:rFonts w:hint="eastAsia"/>
        </w:rPr>
        <w:t>6</w:t>
      </w:r>
      <w:r>
        <w:t>.3.1</w:t>
      </w:r>
      <w:r>
        <w:rPr>
          <w:rFonts w:hint="eastAsia"/>
        </w:rPr>
        <w:t>预案演练</w:t>
      </w:r>
    </w:p>
    <w:p>
      <w:pPr>
        <w:ind w:firstLine="560"/>
      </w:pPr>
      <w:r>
        <w:rPr>
          <w:rFonts w:hint="eastAsia"/>
        </w:rPr>
        <w:t>县水源地应急指挥部应定期举行包括水华灾害事件等不同类型水源地突发环境事件的应急演练，以检验、改善和强化应急准备和应急响应能力。演练内容主要包括通讯系统是否正常运作、信息报送流程是否畅通、各应急工作组配合是否协调、应急人员能力是否满足需要等。演练结束后，县水源地应急指挥部对演练情况进行总结评估。预案演练次数应不低于每年一次。</w:t>
      </w:r>
    </w:p>
    <w:bookmarkEnd w:id="76"/>
    <w:p>
      <w:pPr>
        <w:pStyle w:val="38"/>
        <w:spacing w:before="120" w:after="120"/>
        <w:ind w:firstLine="562"/>
      </w:pPr>
      <w:r>
        <w:rPr>
          <w:rFonts w:hint="eastAsia"/>
        </w:rPr>
        <w:t>6.3.</w:t>
      </w:r>
      <w:r>
        <w:t>2</w:t>
      </w:r>
      <w:r>
        <w:rPr>
          <w:rFonts w:hint="eastAsia"/>
        </w:rPr>
        <w:t>预案修订</w:t>
      </w:r>
    </w:p>
    <w:p>
      <w:pPr>
        <w:ind w:firstLine="560"/>
      </w:pPr>
      <w:bookmarkStart w:id="77" w:name="_Hlk116165923"/>
      <w:r>
        <w:rPr>
          <w:rFonts w:hint="eastAsia"/>
        </w:rPr>
        <w:t>本预案每三年至少修订一次，有下列情形之一的，应及时进行修订：</w:t>
      </w:r>
    </w:p>
    <w:p>
      <w:pPr>
        <w:ind w:firstLine="560"/>
      </w:pPr>
      <w:r>
        <w:rPr>
          <w:rFonts w:hint="eastAsia"/>
        </w:rPr>
        <w:t>1、环境应急管理的政策法规发生重大变化；</w:t>
      </w:r>
    </w:p>
    <w:p>
      <w:pPr>
        <w:ind w:firstLine="560"/>
      </w:pPr>
      <w:r>
        <w:rPr>
          <w:rFonts w:hint="eastAsia"/>
        </w:rPr>
        <w:t>2、相关单位和人员发生变化或者应急组织指挥体系或职责调整的；</w:t>
      </w:r>
    </w:p>
    <w:p>
      <w:pPr>
        <w:ind w:firstLine="560"/>
      </w:pPr>
      <w:r>
        <w:rPr>
          <w:rFonts w:hint="eastAsia"/>
        </w:rPr>
        <w:t>3、周围环境或者环境敏感点发生变化的；</w:t>
      </w:r>
    </w:p>
    <w:p>
      <w:pPr>
        <w:ind w:firstLine="560"/>
      </w:pPr>
      <w:r>
        <w:rPr>
          <w:rFonts w:hint="eastAsia"/>
        </w:rPr>
        <w:t>4、应急过程中发现存在问题和出现新的情况；</w:t>
      </w:r>
    </w:p>
    <w:p>
      <w:pPr>
        <w:ind w:firstLine="560"/>
      </w:pPr>
      <w:r>
        <w:rPr>
          <w:rFonts w:hint="eastAsia"/>
        </w:rPr>
        <w:t>5、县生态环境部门或者相关管理单位认为应当适时修订的其他情形。</w:t>
      </w:r>
    </w:p>
    <w:p>
      <w:pPr>
        <w:ind w:firstLine="560"/>
      </w:pPr>
      <w:r>
        <w:rPr>
          <w:rFonts w:hint="eastAsia"/>
        </w:rPr>
        <w:t>本预案由休宁县生态环境分局牵头制订、修订混合更新，在上报休宁县政府批准后发布。</w:t>
      </w:r>
    </w:p>
    <w:bookmarkEnd w:id="77"/>
    <w:p>
      <w:pPr>
        <w:pStyle w:val="37"/>
      </w:pPr>
      <w:bookmarkStart w:id="78" w:name="_Toc153869681"/>
      <w:r>
        <w:rPr>
          <w:rFonts w:hint="eastAsia"/>
        </w:rPr>
        <w:t>6.4预案实施日期</w:t>
      </w:r>
      <w:bookmarkEnd w:id="78"/>
    </w:p>
    <w:p>
      <w:pPr>
        <w:ind w:firstLine="560"/>
      </w:pPr>
      <w:r>
        <w:rPr>
          <w:rFonts w:hint="eastAsia"/>
        </w:rPr>
        <w:t>本预案自发布之日起实施。</w:t>
      </w:r>
    </w:p>
    <w:p>
      <w:pPr>
        <w:widowControl/>
        <w:spacing w:line="240" w:lineRule="auto"/>
        <w:ind w:firstLine="0" w:firstLineChars="0"/>
        <w:jc w:val="left"/>
      </w:pPr>
    </w:p>
    <w:sectPr>
      <w:pgSz w:w="11906" w:h="16838"/>
      <w:pgMar w:top="1440" w:right="1304" w:bottom="1440" w:left="1304" w:header="851" w:footer="851"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1882910"/>
      <w:docPartObj>
        <w:docPartGallery w:val="autotext"/>
      </w:docPartObj>
    </w:sdtPr>
    <w:sdtContent>
      <w:p>
        <w:pPr>
          <w:pStyle w:val="16"/>
          <w:ind w:firstLine="360"/>
          <w:jc w:val="center"/>
        </w:pPr>
        <w:r>
          <w:fldChar w:fldCharType="begin"/>
        </w:r>
        <w:r>
          <w:instrText xml:space="preserve">PAGE   \* MERGEFORMAT</w:instrText>
        </w:r>
        <w:r>
          <w:fldChar w:fldCharType="separate"/>
        </w:r>
        <w:r>
          <w:rPr>
            <w:lang w:val="zh-CN"/>
          </w:rPr>
          <w:t>III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360382"/>
      <w:docPartObj>
        <w:docPartGallery w:val="autotext"/>
      </w:docPartObj>
    </w:sdtPr>
    <w:sdtContent>
      <w:p>
        <w:pPr>
          <w:pStyle w:val="16"/>
          <w:ind w:firstLine="0" w:firstLineChars="0"/>
          <w:jc w:val="center"/>
        </w:pPr>
        <w:r>
          <w:fldChar w:fldCharType="begin"/>
        </w:r>
        <w:r>
          <w:instrText xml:space="preserve">PAGE   \* MERGEFORMAT</w:instrText>
        </w:r>
        <w:r>
          <w:fldChar w:fldCharType="separate"/>
        </w:r>
        <w:r>
          <w:rPr>
            <w:lang w:val="zh-CN"/>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C433A"/>
    <w:multiLevelType w:val="multilevel"/>
    <w:tmpl w:val="445C433A"/>
    <w:lvl w:ilvl="0" w:tentative="0">
      <w:start w:val="1"/>
      <w:numFmt w:val="decimal"/>
      <w:suff w:val="nothing"/>
      <w:lvlText w:val="%1."/>
      <w:lvlJc w:val="left"/>
      <w:pPr>
        <w:ind w:left="0" w:firstLine="56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7E84FE9"/>
    <w:multiLevelType w:val="multilevel"/>
    <w:tmpl w:val="47E84FE9"/>
    <w:lvl w:ilvl="0" w:tentative="0">
      <w:start w:val="1"/>
      <w:numFmt w:val="decimal"/>
      <w:suff w:val="nothing"/>
      <w:lvlText w:val="%1."/>
      <w:lvlJc w:val="left"/>
      <w:pPr>
        <w:ind w:left="0" w:firstLine="56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CD251AC"/>
    <w:multiLevelType w:val="multilevel"/>
    <w:tmpl w:val="4CD251AC"/>
    <w:lvl w:ilvl="0" w:tentative="0">
      <w:start w:val="1"/>
      <w:numFmt w:val="decimal"/>
      <w:pStyle w:val="57"/>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DB745C8"/>
    <w:multiLevelType w:val="multilevel"/>
    <w:tmpl w:val="6DB745C8"/>
    <w:lvl w:ilvl="0" w:tentative="0">
      <w:start w:val="1"/>
      <w:numFmt w:val="decimal"/>
      <w:lvlText w:val="%1."/>
      <w:lvlJc w:val="center"/>
      <w:pPr>
        <w:ind w:left="980" w:hanging="420"/>
      </w:pPr>
      <w:rPr>
        <w:rFonts w:hint="eastAsia"/>
      </w:rPr>
    </w:lvl>
    <w:lvl w:ilvl="1" w:tentative="0">
      <w:start w:val="1"/>
      <w:numFmt w:val="lowerLetter"/>
      <w:pStyle w:val="63"/>
      <w:lvlText w:val="%2)"/>
      <w:lvlJc w:val="left"/>
      <w:pPr>
        <w:ind w:left="1400" w:hanging="420"/>
      </w:pPr>
    </w:lvl>
    <w:lvl w:ilvl="2" w:tentative="0">
      <w:start w:val="1"/>
      <w:numFmt w:val="lowerRoman"/>
      <w:pStyle w:val="62"/>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ZTRkOWM2ZDhhODYxYmFjMjVhZjg5ZjlhYjM3ZDAifQ=="/>
  </w:docVars>
  <w:rsids>
    <w:rsidRoot w:val="00244816"/>
    <w:rsid w:val="0000019A"/>
    <w:rsid w:val="00000CC4"/>
    <w:rsid w:val="00000DA2"/>
    <w:rsid w:val="00001AC4"/>
    <w:rsid w:val="00001EC5"/>
    <w:rsid w:val="00005FA5"/>
    <w:rsid w:val="00007956"/>
    <w:rsid w:val="00007B4F"/>
    <w:rsid w:val="000102DF"/>
    <w:rsid w:val="00011341"/>
    <w:rsid w:val="00011AFE"/>
    <w:rsid w:val="00012172"/>
    <w:rsid w:val="00013DE0"/>
    <w:rsid w:val="00013F4E"/>
    <w:rsid w:val="000148A0"/>
    <w:rsid w:val="0001529B"/>
    <w:rsid w:val="0002004D"/>
    <w:rsid w:val="00020461"/>
    <w:rsid w:val="0002205F"/>
    <w:rsid w:val="00022DD7"/>
    <w:rsid w:val="00023159"/>
    <w:rsid w:val="00023F41"/>
    <w:rsid w:val="00024325"/>
    <w:rsid w:val="0002697F"/>
    <w:rsid w:val="00030FFB"/>
    <w:rsid w:val="0003205A"/>
    <w:rsid w:val="0003328C"/>
    <w:rsid w:val="00034DF8"/>
    <w:rsid w:val="00034F5D"/>
    <w:rsid w:val="0003593F"/>
    <w:rsid w:val="00035C3C"/>
    <w:rsid w:val="000365A2"/>
    <w:rsid w:val="000418F0"/>
    <w:rsid w:val="000424CC"/>
    <w:rsid w:val="000451D0"/>
    <w:rsid w:val="0004573A"/>
    <w:rsid w:val="00045C60"/>
    <w:rsid w:val="00045DBC"/>
    <w:rsid w:val="000465FB"/>
    <w:rsid w:val="00046D7A"/>
    <w:rsid w:val="00046F85"/>
    <w:rsid w:val="0004772F"/>
    <w:rsid w:val="00047F99"/>
    <w:rsid w:val="0005040F"/>
    <w:rsid w:val="00050BDE"/>
    <w:rsid w:val="00050FBC"/>
    <w:rsid w:val="00051005"/>
    <w:rsid w:val="00052A71"/>
    <w:rsid w:val="00053CA4"/>
    <w:rsid w:val="00054532"/>
    <w:rsid w:val="00054990"/>
    <w:rsid w:val="000553C1"/>
    <w:rsid w:val="00056639"/>
    <w:rsid w:val="000579FD"/>
    <w:rsid w:val="0006001C"/>
    <w:rsid w:val="000605C0"/>
    <w:rsid w:val="000612B2"/>
    <w:rsid w:val="00061660"/>
    <w:rsid w:val="00062B3F"/>
    <w:rsid w:val="00062CB1"/>
    <w:rsid w:val="00063573"/>
    <w:rsid w:val="000636E8"/>
    <w:rsid w:val="00064650"/>
    <w:rsid w:val="0006486A"/>
    <w:rsid w:val="00064E1F"/>
    <w:rsid w:val="00065312"/>
    <w:rsid w:val="00066DB7"/>
    <w:rsid w:val="000677FF"/>
    <w:rsid w:val="000706C9"/>
    <w:rsid w:val="00073D95"/>
    <w:rsid w:val="00075BB7"/>
    <w:rsid w:val="000774F4"/>
    <w:rsid w:val="00080284"/>
    <w:rsid w:val="00080612"/>
    <w:rsid w:val="00080ABB"/>
    <w:rsid w:val="00081B70"/>
    <w:rsid w:val="0008549A"/>
    <w:rsid w:val="00085C05"/>
    <w:rsid w:val="00086729"/>
    <w:rsid w:val="00086B0D"/>
    <w:rsid w:val="00087254"/>
    <w:rsid w:val="00087BF1"/>
    <w:rsid w:val="00087DE1"/>
    <w:rsid w:val="00087DF2"/>
    <w:rsid w:val="00091011"/>
    <w:rsid w:val="00091327"/>
    <w:rsid w:val="000918AA"/>
    <w:rsid w:val="000919A3"/>
    <w:rsid w:val="000921E6"/>
    <w:rsid w:val="00092688"/>
    <w:rsid w:val="000935A2"/>
    <w:rsid w:val="0009395F"/>
    <w:rsid w:val="00094682"/>
    <w:rsid w:val="00095B88"/>
    <w:rsid w:val="00096323"/>
    <w:rsid w:val="000967B1"/>
    <w:rsid w:val="00096B23"/>
    <w:rsid w:val="0009737E"/>
    <w:rsid w:val="000A0720"/>
    <w:rsid w:val="000A0931"/>
    <w:rsid w:val="000A311D"/>
    <w:rsid w:val="000A45BA"/>
    <w:rsid w:val="000A538A"/>
    <w:rsid w:val="000A539B"/>
    <w:rsid w:val="000A55DB"/>
    <w:rsid w:val="000A7256"/>
    <w:rsid w:val="000A77BF"/>
    <w:rsid w:val="000A79ED"/>
    <w:rsid w:val="000A7FFC"/>
    <w:rsid w:val="000B176E"/>
    <w:rsid w:val="000B1D73"/>
    <w:rsid w:val="000B1E37"/>
    <w:rsid w:val="000B2C90"/>
    <w:rsid w:val="000B3265"/>
    <w:rsid w:val="000B35F3"/>
    <w:rsid w:val="000B3E34"/>
    <w:rsid w:val="000B4597"/>
    <w:rsid w:val="000B5674"/>
    <w:rsid w:val="000B5A6A"/>
    <w:rsid w:val="000B6204"/>
    <w:rsid w:val="000B65CC"/>
    <w:rsid w:val="000B6C77"/>
    <w:rsid w:val="000B73BE"/>
    <w:rsid w:val="000B7556"/>
    <w:rsid w:val="000C08CB"/>
    <w:rsid w:val="000C3847"/>
    <w:rsid w:val="000C3EF0"/>
    <w:rsid w:val="000C44C0"/>
    <w:rsid w:val="000C44CD"/>
    <w:rsid w:val="000C490E"/>
    <w:rsid w:val="000C5639"/>
    <w:rsid w:val="000C767E"/>
    <w:rsid w:val="000C772E"/>
    <w:rsid w:val="000D0974"/>
    <w:rsid w:val="000D12D6"/>
    <w:rsid w:val="000D15A6"/>
    <w:rsid w:val="000D34F4"/>
    <w:rsid w:val="000D37EE"/>
    <w:rsid w:val="000D403D"/>
    <w:rsid w:val="000D4BB7"/>
    <w:rsid w:val="000D6707"/>
    <w:rsid w:val="000D6C17"/>
    <w:rsid w:val="000D6C22"/>
    <w:rsid w:val="000D783D"/>
    <w:rsid w:val="000D7FE4"/>
    <w:rsid w:val="000E013E"/>
    <w:rsid w:val="000E0E66"/>
    <w:rsid w:val="000E15B7"/>
    <w:rsid w:val="000E3108"/>
    <w:rsid w:val="000E3475"/>
    <w:rsid w:val="000E4671"/>
    <w:rsid w:val="000E4A87"/>
    <w:rsid w:val="000E4DF2"/>
    <w:rsid w:val="000E5EA1"/>
    <w:rsid w:val="000E60CB"/>
    <w:rsid w:val="000E6604"/>
    <w:rsid w:val="000E6E9C"/>
    <w:rsid w:val="000E71C2"/>
    <w:rsid w:val="000E75E3"/>
    <w:rsid w:val="000E7993"/>
    <w:rsid w:val="000F06AF"/>
    <w:rsid w:val="000F0AB2"/>
    <w:rsid w:val="000F1920"/>
    <w:rsid w:val="000F1D20"/>
    <w:rsid w:val="000F33E4"/>
    <w:rsid w:val="000F430A"/>
    <w:rsid w:val="000F572C"/>
    <w:rsid w:val="000F6030"/>
    <w:rsid w:val="000F69E7"/>
    <w:rsid w:val="000F6EF9"/>
    <w:rsid w:val="000F73E8"/>
    <w:rsid w:val="000F76EB"/>
    <w:rsid w:val="000F76EE"/>
    <w:rsid w:val="0010064A"/>
    <w:rsid w:val="00100EF7"/>
    <w:rsid w:val="0010107F"/>
    <w:rsid w:val="00102744"/>
    <w:rsid w:val="00103923"/>
    <w:rsid w:val="0010470F"/>
    <w:rsid w:val="001057FB"/>
    <w:rsid w:val="00106F65"/>
    <w:rsid w:val="001100DF"/>
    <w:rsid w:val="0011097E"/>
    <w:rsid w:val="0011126E"/>
    <w:rsid w:val="00111E8B"/>
    <w:rsid w:val="0011255D"/>
    <w:rsid w:val="00112640"/>
    <w:rsid w:val="00113856"/>
    <w:rsid w:val="00114EE1"/>
    <w:rsid w:val="00116CEA"/>
    <w:rsid w:val="00116EAC"/>
    <w:rsid w:val="00120552"/>
    <w:rsid w:val="00120FDB"/>
    <w:rsid w:val="00121221"/>
    <w:rsid w:val="0012199F"/>
    <w:rsid w:val="00121E0A"/>
    <w:rsid w:val="00122278"/>
    <w:rsid w:val="001226B8"/>
    <w:rsid w:val="00122A75"/>
    <w:rsid w:val="00123DA3"/>
    <w:rsid w:val="00124827"/>
    <w:rsid w:val="0012487F"/>
    <w:rsid w:val="00125527"/>
    <w:rsid w:val="00126973"/>
    <w:rsid w:val="00126B1F"/>
    <w:rsid w:val="001272A8"/>
    <w:rsid w:val="00127A9D"/>
    <w:rsid w:val="00131130"/>
    <w:rsid w:val="00132358"/>
    <w:rsid w:val="00132799"/>
    <w:rsid w:val="001328E9"/>
    <w:rsid w:val="001337AE"/>
    <w:rsid w:val="00133D4E"/>
    <w:rsid w:val="0013571E"/>
    <w:rsid w:val="00135C81"/>
    <w:rsid w:val="00142158"/>
    <w:rsid w:val="0014273A"/>
    <w:rsid w:val="00143A17"/>
    <w:rsid w:val="00143F9A"/>
    <w:rsid w:val="00144FC9"/>
    <w:rsid w:val="00145B07"/>
    <w:rsid w:val="00145B8E"/>
    <w:rsid w:val="00145E1C"/>
    <w:rsid w:val="00147205"/>
    <w:rsid w:val="00150794"/>
    <w:rsid w:val="001537EB"/>
    <w:rsid w:val="001538AA"/>
    <w:rsid w:val="00153B47"/>
    <w:rsid w:val="00154686"/>
    <w:rsid w:val="00155110"/>
    <w:rsid w:val="001555D2"/>
    <w:rsid w:val="0015589C"/>
    <w:rsid w:val="00156CBD"/>
    <w:rsid w:val="0015748F"/>
    <w:rsid w:val="00160578"/>
    <w:rsid w:val="00163F8B"/>
    <w:rsid w:val="00165C46"/>
    <w:rsid w:val="0016640A"/>
    <w:rsid w:val="00167984"/>
    <w:rsid w:val="001700BD"/>
    <w:rsid w:val="001701D3"/>
    <w:rsid w:val="00170F67"/>
    <w:rsid w:val="00172D6D"/>
    <w:rsid w:val="00174753"/>
    <w:rsid w:val="00176F78"/>
    <w:rsid w:val="00177270"/>
    <w:rsid w:val="00177D8A"/>
    <w:rsid w:val="00180D98"/>
    <w:rsid w:val="00182A89"/>
    <w:rsid w:val="00182E42"/>
    <w:rsid w:val="00184990"/>
    <w:rsid w:val="0018649C"/>
    <w:rsid w:val="00187B4C"/>
    <w:rsid w:val="0019181F"/>
    <w:rsid w:val="0019299E"/>
    <w:rsid w:val="00192A0C"/>
    <w:rsid w:val="00193F03"/>
    <w:rsid w:val="00194FD8"/>
    <w:rsid w:val="001952A4"/>
    <w:rsid w:val="0019541A"/>
    <w:rsid w:val="0019543F"/>
    <w:rsid w:val="00197931"/>
    <w:rsid w:val="001979F8"/>
    <w:rsid w:val="00197BEE"/>
    <w:rsid w:val="001A052D"/>
    <w:rsid w:val="001A0A8D"/>
    <w:rsid w:val="001A150C"/>
    <w:rsid w:val="001A16CF"/>
    <w:rsid w:val="001A23F4"/>
    <w:rsid w:val="001A274B"/>
    <w:rsid w:val="001A2F83"/>
    <w:rsid w:val="001A355F"/>
    <w:rsid w:val="001A3F2A"/>
    <w:rsid w:val="001A4742"/>
    <w:rsid w:val="001A63F9"/>
    <w:rsid w:val="001A7D75"/>
    <w:rsid w:val="001B085E"/>
    <w:rsid w:val="001B0BDF"/>
    <w:rsid w:val="001B0F9A"/>
    <w:rsid w:val="001B1FB0"/>
    <w:rsid w:val="001B2AE5"/>
    <w:rsid w:val="001B3920"/>
    <w:rsid w:val="001B3A43"/>
    <w:rsid w:val="001B40A0"/>
    <w:rsid w:val="001B4CEC"/>
    <w:rsid w:val="001B7304"/>
    <w:rsid w:val="001B762F"/>
    <w:rsid w:val="001C02E5"/>
    <w:rsid w:val="001C17A0"/>
    <w:rsid w:val="001C182D"/>
    <w:rsid w:val="001C2799"/>
    <w:rsid w:val="001C3188"/>
    <w:rsid w:val="001C395C"/>
    <w:rsid w:val="001C3B6E"/>
    <w:rsid w:val="001C5ABB"/>
    <w:rsid w:val="001C672E"/>
    <w:rsid w:val="001C7031"/>
    <w:rsid w:val="001C7BE4"/>
    <w:rsid w:val="001D01AC"/>
    <w:rsid w:val="001D0BAC"/>
    <w:rsid w:val="001D104E"/>
    <w:rsid w:val="001D21DD"/>
    <w:rsid w:val="001D24FA"/>
    <w:rsid w:val="001D3216"/>
    <w:rsid w:val="001D3834"/>
    <w:rsid w:val="001D3C3D"/>
    <w:rsid w:val="001D48B8"/>
    <w:rsid w:val="001D513F"/>
    <w:rsid w:val="001D552A"/>
    <w:rsid w:val="001D5589"/>
    <w:rsid w:val="001D59AE"/>
    <w:rsid w:val="001D5C1F"/>
    <w:rsid w:val="001D6725"/>
    <w:rsid w:val="001D6AC6"/>
    <w:rsid w:val="001D6C58"/>
    <w:rsid w:val="001D792E"/>
    <w:rsid w:val="001E0FE5"/>
    <w:rsid w:val="001E1138"/>
    <w:rsid w:val="001E4014"/>
    <w:rsid w:val="001E56C9"/>
    <w:rsid w:val="001E5789"/>
    <w:rsid w:val="001E66AE"/>
    <w:rsid w:val="001F3E22"/>
    <w:rsid w:val="001F4061"/>
    <w:rsid w:val="001F461D"/>
    <w:rsid w:val="001F4E93"/>
    <w:rsid w:val="001F63CE"/>
    <w:rsid w:val="001F704C"/>
    <w:rsid w:val="001F7CBC"/>
    <w:rsid w:val="00200B2E"/>
    <w:rsid w:val="00201AAF"/>
    <w:rsid w:val="0020227F"/>
    <w:rsid w:val="00202E1A"/>
    <w:rsid w:val="002036F3"/>
    <w:rsid w:val="00204385"/>
    <w:rsid w:val="002049DA"/>
    <w:rsid w:val="002059D1"/>
    <w:rsid w:val="0020658B"/>
    <w:rsid w:val="0020704E"/>
    <w:rsid w:val="00211970"/>
    <w:rsid w:val="00211CA5"/>
    <w:rsid w:val="002131F7"/>
    <w:rsid w:val="0021603A"/>
    <w:rsid w:val="0021611D"/>
    <w:rsid w:val="00216487"/>
    <w:rsid w:val="00217052"/>
    <w:rsid w:val="002209E1"/>
    <w:rsid w:val="00221620"/>
    <w:rsid w:val="00224BCE"/>
    <w:rsid w:val="00225783"/>
    <w:rsid w:val="0022593C"/>
    <w:rsid w:val="0022596A"/>
    <w:rsid w:val="002261A5"/>
    <w:rsid w:val="00231904"/>
    <w:rsid w:val="00231D7A"/>
    <w:rsid w:val="002327E5"/>
    <w:rsid w:val="00232B25"/>
    <w:rsid w:val="00233BF9"/>
    <w:rsid w:val="00234174"/>
    <w:rsid w:val="00234748"/>
    <w:rsid w:val="00235573"/>
    <w:rsid w:val="00235724"/>
    <w:rsid w:val="002370BB"/>
    <w:rsid w:val="00237A7A"/>
    <w:rsid w:val="002401CF"/>
    <w:rsid w:val="0024053D"/>
    <w:rsid w:val="00240620"/>
    <w:rsid w:val="00240B35"/>
    <w:rsid w:val="00241BFA"/>
    <w:rsid w:val="002426F1"/>
    <w:rsid w:val="00244816"/>
    <w:rsid w:val="002473E9"/>
    <w:rsid w:val="002501B2"/>
    <w:rsid w:val="002503AD"/>
    <w:rsid w:val="002534EC"/>
    <w:rsid w:val="002535ED"/>
    <w:rsid w:val="00255F87"/>
    <w:rsid w:val="00256BBC"/>
    <w:rsid w:val="00261B58"/>
    <w:rsid w:val="00262D0C"/>
    <w:rsid w:val="0026405C"/>
    <w:rsid w:val="002647FD"/>
    <w:rsid w:val="0026581F"/>
    <w:rsid w:val="00265BA4"/>
    <w:rsid w:val="00270298"/>
    <w:rsid w:val="00272DD5"/>
    <w:rsid w:val="0027391D"/>
    <w:rsid w:val="00273A6B"/>
    <w:rsid w:val="00274CFD"/>
    <w:rsid w:val="002758D7"/>
    <w:rsid w:val="00275E5E"/>
    <w:rsid w:val="002763E4"/>
    <w:rsid w:val="0027672C"/>
    <w:rsid w:val="00277A38"/>
    <w:rsid w:val="0028154B"/>
    <w:rsid w:val="00281A7D"/>
    <w:rsid w:val="00282141"/>
    <w:rsid w:val="00282496"/>
    <w:rsid w:val="00282943"/>
    <w:rsid w:val="0028382B"/>
    <w:rsid w:val="00283BF8"/>
    <w:rsid w:val="00283FB3"/>
    <w:rsid w:val="002868F6"/>
    <w:rsid w:val="00286A62"/>
    <w:rsid w:val="00287BF2"/>
    <w:rsid w:val="00287D59"/>
    <w:rsid w:val="002925CB"/>
    <w:rsid w:val="00293DF4"/>
    <w:rsid w:val="00294130"/>
    <w:rsid w:val="00294A73"/>
    <w:rsid w:val="0029514A"/>
    <w:rsid w:val="0029580B"/>
    <w:rsid w:val="00295E29"/>
    <w:rsid w:val="00296911"/>
    <w:rsid w:val="002A0C88"/>
    <w:rsid w:val="002A125E"/>
    <w:rsid w:val="002A16DA"/>
    <w:rsid w:val="002A1A3B"/>
    <w:rsid w:val="002A2307"/>
    <w:rsid w:val="002A4035"/>
    <w:rsid w:val="002A4AF0"/>
    <w:rsid w:val="002A4F93"/>
    <w:rsid w:val="002A661B"/>
    <w:rsid w:val="002A6640"/>
    <w:rsid w:val="002B0520"/>
    <w:rsid w:val="002B0979"/>
    <w:rsid w:val="002B0EFD"/>
    <w:rsid w:val="002B0F88"/>
    <w:rsid w:val="002B1687"/>
    <w:rsid w:val="002B21CC"/>
    <w:rsid w:val="002B3064"/>
    <w:rsid w:val="002B3778"/>
    <w:rsid w:val="002B578C"/>
    <w:rsid w:val="002B6B1B"/>
    <w:rsid w:val="002B6DAA"/>
    <w:rsid w:val="002B7A35"/>
    <w:rsid w:val="002C094E"/>
    <w:rsid w:val="002C0C61"/>
    <w:rsid w:val="002C504B"/>
    <w:rsid w:val="002C65DB"/>
    <w:rsid w:val="002C7B07"/>
    <w:rsid w:val="002D03D7"/>
    <w:rsid w:val="002D0A61"/>
    <w:rsid w:val="002D0CAC"/>
    <w:rsid w:val="002D0CF3"/>
    <w:rsid w:val="002D1EBF"/>
    <w:rsid w:val="002D2962"/>
    <w:rsid w:val="002D2F26"/>
    <w:rsid w:val="002D34CC"/>
    <w:rsid w:val="002D429B"/>
    <w:rsid w:val="002D4919"/>
    <w:rsid w:val="002D4FE1"/>
    <w:rsid w:val="002D5190"/>
    <w:rsid w:val="002D6BD9"/>
    <w:rsid w:val="002E0475"/>
    <w:rsid w:val="002E1DA1"/>
    <w:rsid w:val="002E2257"/>
    <w:rsid w:val="002E34B1"/>
    <w:rsid w:val="002E464A"/>
    <w:rsid w:val="002E4DF3"/>
    <w:rsid w:val="002E5C62"/>
    <w:rsid w:val="002E708D"/>
    <w:rsid w:val="002E7E6E"/>
    <w:rsid w:val="002F243A"/>
    <w:rsid w:val="002F2E66"/>
    <w:rsid w:val="002F35F8"/>
    <w:rsid w:val="002F5177"/>
    <w:rsid w:val="002F62B2"/>
    <w:rsid w:val="002F7872"/>
    <w:rsid w:val="00300209"/>
    <w:rsid w:val="00300F9D"/>
    <w:rsid w:val="00301122"/>
    <w:rsid w:val="003024E7"/>
    <w:rsid w:val="00302FC1"/>
    <w:rsid w:val="00303859"/>
    <w:rsid w:val="00304487"/>
    <w:rsid w:val="0030448A"/>
    <w:rsid w:val="0030502F"/>
    <w:rsid w:val="003050C3"/>
    <w:rsid w:val="003051AB"/>
    <w:rsid w:val="0030724D"/>
    <w:rsid w:val="00310100"/>
    <w:rsid w:val="003116BA"/>
    <w:rsid w:val="00312054"/>
    <w:rsid w:val="003122FD"/>
    <w:rsid w:val="00312427"/>
    <w:rsid w:val="00313B66"/>
    <w:rsid w:val="003148B3"/>
    <w:rsid w:val="00316A84"/>
    <w:rsid w:val="00320260"/>
    <w:rsid w:val="00320D09"/>
    <w:rsid w:val="00320F80"/>
    <w:rsid w:val="00321839"/>
    <w:rsid w:val="00321CE1"/>
    <w:rsid w:val="0032264B"/>
    <w:rsid w:val="00323264"/>
    <w:rsid w:val="00323FF2"/>
    <w:rsid w:val="00324221"/>
    <w:rsid w:val="003244DC"/>
    <w:rsid w:val="0032465C"/>
    <w:rsid w:val="00324B68"/>
    <w:rsid w:val="003252EE"/>
    <w:rsid w:val="00325E9C"/>
    <w:rsid w:val="00332DF2"/>
    <w:rsid w:val="00333342"/>
    <w:rsid w:val="00333FBA"/>
    <w:rsid w:val="003342B3"/>
    <w:rsid w:val="003357B2"/>
    <w:rsid w:val="00335A93"/>
    <w:rsid w:val="00336345"/>
    <w:rsid w:val="003370AF"/>
    <w:rsid w:val="0033762B"/>
    <w:rsid w:val="00340767"/>
    <w:rsid w:val="00340D62"/>
    <w:rsid w:val="00340FCA"/>
    <w:rsid w:val="00340FDF"/>
    <w:rsid w:val="003417E9"/>
    <w:rsid w:val="003441A9"/>
    <w:rsid w:val="00344939"/>
    <w:rsid w:val="00345043"/>
    <w:rsid w:val="0034755C"/>
    <w:rsid w:val="003479E0"/>
    <w:rsid w:val="003504EC"/>
    <w:rsid w:val="003505F1"/>
    <w:rsid w:val="003508A3"/>
    <w:rsid w:val="00352AB1"/>
    <w:rsid w:val="00353EA1"/>
    <w:rsid w:val="0035755B"/>
    <w:rsid w:val="00360848"/>
    <w:rsid w:val="00360C2F"/>
    <w:rsid w:val="0036142D"/>
    <w:rsid w:val="00361697"/>
    <w:rsid w:val="0036196D"/>
    <w:rsid w:val="00362403"/>
    <w:rsid w:val="00362A06"/>
    <w:rsid w:val="00362F7F"/>
    <w:rsid w:val="00364CE9"/>
    <w:rsid w:val="00365F1F"/>
    <w:rsid w:val="00367A7E"/>
    <w:rsid w:val="00367FE3"/>
    <w:rsid w:val="00373462"/>
    <w:rsid w:val="00373922"/>
    <w:rsid w:val="00373ACA"/>
    <w:rsid w:val="00374315"/>
    <w:rsid w:val="003749C4"/>
    <w:rsid w:val="003754B6"/>
    <w:rsid w:val="00375A60"/>
    <w:rsid w:val="00376D47"/>
    <w:rsid w:val="0038416F"/>
    <w:rsid w:val="00384192"/>
    <w:rsid w:val="0038497E"/>
    <w:rsid w:val="003859F6"/>
    <w:rsid w:val="00385B44"/>
    <w:rsid w:val="00386360"/>
    <w:rsid w:val="00386684"/>
    <w:rsid w:val="0038717F"/>
    <w:rsid w:val="00387280"/>
    <w:rsid w:val="00387C3E"/>
    <w:rsid w:val="003907B4"/>
    <w:rsid w:val="003939AA"/>
    <w:rsid w:val="00394668"/>
    <w:rsid w:val="00394D76"/>
    <w:rsid w:val="00396F37"/>
    <w:rsid w:val="00397E8E"/>
    <w:rsid w:val="003A0575"/>
    <w:rsid w:val="003A4763"/>
    <w:rsid w:val="003A663C"/>
    <w:rsid w:val="003A7DAA"/>
    <w:rsid w:val="003B081E"/>
    <w:rsid w:val="003B0E36"/>
    <w:rsid w:val="003B0FAA"/>
    <w:rsid w:val="003B4C82"/>
    <w:rsid w:val="003B5C5F"/>
    <w:rsid w:val="003B62EE"/>
    <w:rsid w:val="003B7E40"/>
    <w:rsid w:val="003C4563"/>
    <w:rsid w:val="003C4779"/>
    <w:rsid w:val="003C6959"/>
    <w:rsid w:val="003C749D"/>
    <w:rsid w:val="003C7CD6"/>
    <w:rsid w:val="003D096B"/>
    <w:rsid w:val="003D37A1"/>
    <w:rsid w:val="003D4A38"/>
    <w:rsid w:val="003D55E1"/>
    <w:rsid w:val="003D5E1E"/>
    <w:rsid w:val="003D5EEA"/>
    <w:rsid w:val="003D6BA6"/>
    <w:rsid w:val="003E0A52"/>
    <w:rsid w:val="003E0D19"/>
    <w:rsid w:val="003E0EB9"/>
    <w:rsid w:val="003E1709"/>
    <w:rsid w:val="003E19CB"/>
    <w:rsid w:val="003E2108"/>
    <w:rsid w:val="003E418D"/>
    <w:rsid w:val="003E6E68"/>
    <w:rsid w:val="003E73B9"/>
    <w:rsid w:val="003F0147"/>
    <w:rsid w:val="003F0CC1"/>
    <w:rsid w:val="003F1400"/>
    <w:rsid w:val="003F15CD"/>
    <w:rsid w:val="003F1AF4"/>
    <w:rsid w:val="003F2C3E"/>
    <w:rsid w:val="003F449F"/>
    <w:rsid w:val="003F44B9"/>
    <w:rsid w:val="003F4FAE"/>
    <w:rsid w:val="003F5D68"/>
    <w:rsid w:val="003F726A"/>
    <w:rsid w:val="003F7517"/>
    <w:rsid w:val="004001F3"/>
    <w:rsid w:val="00400FD5"/>
    <w:rsid w:val="004010FE"/>
    <w:rsid w:val="00401953"/>
    <w:rsid w:val="00402602"/>
    <w:rsid w:val="0040357E"/>
    <w:rsid w:val="0040443B"/>
    <w:rsid w:val="0040551C"/>
    <w:rsid w:val="00405828"/>
    <w:rsid w:val="00406C26"/>
    <w:rsid w:val="00406F7E"/>
    <w:rsid w:val="004075E4"/>
    <w:rsid w:val="0041043C"/>
    <w:rsid w:val="0041053A"/>
    <w:rsid w:val="00410AE4"/>
    <w:rsid w:val="00410E32"/>
    <w:rsid w:val="004124FF"/>
    <w:rsid w:val="0041305A"/>
    <w:rsid w:val="004138B5"/>
    <w:rsid w:val="0041427D"/>
    <w:rsid w:val="004142EC"/>
    <w:rsid w:val="00414610"/>
    <w:rsid w:val="00416473"/>
    <w:rsid w:val="00417044"/>
    <w:rsid w:val="00420683"/>
    <w:rsid w:val="004218E4"/>
    <w:rsid w:val="00422910"/>
    <w:rsid w:val="00423C0D"/>
    <w:rsid w:val="004244ED"/>
    <w:rsid w:val="00426F29"/>
    <w:rsid w:val="00427214"/>
    <w:rsid w:val="00430BA2"/>
    <w:rsid w:val="004311E9"/>
    <w:rsid w:val="00431544"/>
    <w:rsid w:val="00433258"/>
    <w:rsid w:val="004341FE"/>
    <w:rsid w:val="004350FF"/>
    <w:rsid w:val="004356DD"/>
    <w:rsid w:val="00435CC1"/>
    <w:rsid w:val="00436BD1"/>
    <w:rsid w:val="00437461"/>
    <w:rsid w:val="00437BCC"/>
    <w:rsid w:val="00442254"/>
    <w:rsid w:val="00445704"/>
    <w:rsid w:val="00446B8A"/>
    <w:rsid w:val="00450A86"/>
    <w:rsid w:val="00450B44"/>
    <w:rsid w:val="00450FCC"/>
    <w:rsid w:val="0045161F"/>
    <w:rsid w:val="00451BC9"/>
    <w:rsid w:val="00451FFC"/>
    <w:rsid w:val="0045296C"/>
    <w:rsid w:val="004529B0"/>
    <w:rsid w:val="00452CD3"/>
    <w:rsid w:val="00452D8F"/>
    <w:rsid w:val="00453757"/>
    <w:rsid w:val="004541D8"/>
    <w:rsid w:val="00454289"/>
    <w:rsid w:val="00454AE4"/>
    <w:rsid w:val="004568C0"/>
    <w:rsid w:val="00457E09"/>
    <w:rsid w:val="0046018F"/>
    <w:rsid w:val="00460230"/>
    <w:rsid w:val="0046106C"/>
    <w:rsid w:val="00461FD4"/>
    <w:rsid w:val="0046291E"/>
    <w:rsid w:val="0046469D"/>
    <w:rsid w:val="00464942"/>
    <w:rsid w:val="004654F2"/>
    <w:rsid w:val="00465569"/>
    <w:rsid w:val="00465D12"/>
    <w:rsid w:val="004666CB"/>
    <w:rsid w:val="004677F4"/>
    <w:rsid w:val="0047010E"/>
    <w:rsid w:val="0047020B"/>
    <w:rsid w:val="00470E13"/>
    <w:rsid w:val="00472FA9"/>
    <w:rsid w:val="0047306D"/>
    <w:rsid w:val="004757AD"/>
    <w:rsid w:val="00477803"/>
    <w:rsid w:val="0048150C"/>
    <w:rsid w:val="004828A8"/>
    <w:rsid w:val="00483F68"/>
    <w:rsid w:val="0048684C"/>
    <w:rsid w:val="00486C05"/>
    <w:rsid w:val="00490E28"/>
    <w:rsid w:val="004915B7"/>
    <w:rsid w:val="0049220B"/>
    <w:rsid w:val="00494054"/>
    <w:rsid w:val="004946FB"/>
    <w:rsid w:val="00494895"/>
    <w:rsid w:val="0049570A"/>
    <w:rsid w:val="004963AA"/>
    <w:rsid w:val="004977A9"/>
    <w:rsid w:val="00497BED"/>
    <w:rsid w:val="004A015B"/>
    <w:rsid w:val="004A03B6"/>
    <w:rsid w:val="004A2F9A"/>
    <w:rsid w:val="004A4FE9"/>
    <w:rsid w:val="004A59D9"/>
    <w:rsid w:val="004B19A7"/>
    <w:rsid w:val="004B19C9"/>
    <w:rsid w:val="004B1CD9"/>
    <w:rsid w:val="004B330C"/>
    <w:rsid w:val="004B3B9B"/>
    <w:rsid w:val="004B5A8B"/>
    <w:rsid w:val="004B5B62"/>
    <w:rsid w:val="004B6897"/>
    <w:rsid w:val="004B7241"/>
    <w:rsid w:val="004C04BD"/>
    <w:rsid w:val="004C04E6"/>
    <w:rsid w:val="004C1CB3"/>
    <w:rsid w:val="004C1FF8"/>
    <w:rsid w:val="004C3D01"/>
    <w:rsid w:val="004C50E6"/>
    <w:rsid w:val="004C5FC9"/>
    <w:rsid w:val="004D0042"/>
    <w:rsid w:val="004D049A"/>
    <w:rsid w:val="004D0726"/>
    <w:rsid w:val="004D18F8"/>
    <w:rsid w:val="004D193E"/>
    <w:rsid w:val="004D1C3C"/>
    <w:rsid w:val="004D237D"/>
    <w:rsid w:val="004D30CA"/>
    <w:rsid w:val="004D425C"/>
    <w:rsid w:val="004D448F"/>
    <w:rsid w:val="004D47F1"/>
    <w:rsid w:val="004D5026"/>
    <w:rsid w:val="004D544C"/>
    <w:rsid w:val="004D7699"/>
    <w:rsid w:val="004D7AA3"/>
    <w:rsid w:val="004E000F"/>
    <w:rsid w:val="004E180A"/>
    <w:rsid w:val="004E274C"/>
    <w:rsid w:val="004E2C52"/>
    <w:rsid w:val="004E2F98"/>
    <w:rsid w:val="004E606B"/>
    <w:rsid w:val="004E7139"/>
    <w:rsid w:val="004E7F40"/>
    <w:rsid w:val="004F07D0"/>
    <w:rsid w:val="004F0AC3"/>
    <w:rsid w:val="004F0E98"/>
    <w:rsid w:val="004F294F"/>
    <w:rsid w:val="004F30BC"/>
    <w:rsid w:val="004F5756"/>
    <w:rsid w:val="004F5B0F"/>
    <w:rsid w:val="004F5DD3"/>
    <w:rsid w:val="004F7F87"/>
    <w:rsid w:val="00500904"/>
    <w:rsid w:val="00500CE3"/>
    <w:rsid w:val="00500D88"/>
    <w:rsid w:val="00502646"/>
    <w:rsid w:val="00503AC7"/>
    <w:rsid w:val="00503E98"/>
    <w:rsid w:val="00504915"/>
    <w:rsid w:val="00506244"/>
    <w:rsid w:val="005103CC"/>
    <w:rsid w:val="0051095E"/>
    <w:rsid w:val="00510E76"/>
    <w:rsid w:val="00511D73"/>
    <w:rsid w:val="00512522"/>
    <w:rsid w:val="00512F3B"/>
    <w:rsid w:val="00513227"/>
    <w:rsid w:val="00513375"/>
    <w:rsid w:val="00513F10"/>
    <w:rsid w:val="005152E4"/>
    <w:rsid w:val="00515B77"/>
    <w:rsid w:val="0051628C"/>
    <w:rsid w:val="00521A10"/>
    <w:rsid w:val="00522DFC"/>
    <w:rsid w:val="00522E28"/>
    <w:rsid w:val="00525850"/>
    <w:rsid w:val="005267E1"/>
    <w:rsid w:val="005271DF"/>
    <w:rsid w:val="00527E96"/>
    <w:rsid w:val="00527FAE"/>
    <w:rsid w:val="00530F41"/>
    <w:rsid w:val="00531EBE"/>
    <w:rsid w:val="00532DD3"/>
    <w:rsid w:val="0053349E"/>
    <w:rsid w:val="00536BD1"/>
    <w:rsid w:val="00536D68"/>
    <w:rsid w:val="005401B5"/>
    <w:rsid w:val="005401D8"/>
    <w:rsid w:val="00540C6C"/>
    <w:rsid w:val="00542CC6"/>
    <w:rsid w:val="00543DB4"/>
    <w:rsid w:val="00545762"/>
    <w:rsid w:val="005471B2"/>
    <w:rsid w:val="005477E4"/>
    <w:rsid w:val="00547D6F"/>
    <w:rsid w:val="00550119"/>
    <w:rsid w:val="00550769"/>
    <w:rsid w:val="00551632"/>
    <w:rsid w:val="005521E0"/>
    <w:rsid w:val="00552477"/>
    <w:rsid w:val="00553F3B"/>
    <w:rsid w:val="00555861"/>
    <w:rsid w:val="00555D0E"/>
    <w:rsid w:val="00560754"/>
    <w:rsid w:val="00564CA0"/>
    <w:rsid w:val="00566114"/>
    <w:rsid w:val="00566CCB"/>
    <w:rsid w:val="00567FA6"/>
    <w:rsid w:val="0057149A"/>
    <w:rsid w:val="00571586"/>
    <w:rsid w:val="005729AD"/>
    <w:rsid w:val="00574328"/>
    <w:rsid w:val="00577735"/>
    <w:rsid w:val="00577B4F"/>
    <w:rsid w:val="00577DCC"/>
    <w:rsid w:val="00580712"/>
    <w:rsid w:val="00580F32"/>
    <w:rsid w:val="0058387F"/>
    <w:rsid w:val="005849F3"/>
    <w:rsid w:val="005854AD"/>
    <w:rsid w:val="0058602B"/>
    <w:rsid w:val="00586277"/>
    <w:rsid w:val="00586E7A"/>
    <w:rsid w:val="00586F74"/>
    <w:rsid w:val="005871C2"/>
    <w:rsid w:val="0059212D"/>
    <w:rsid w:val="0059273F"/>
    <w:rsid w:val="005928A3"/>
    <w:rsid w:val="00593574"/>
    <w:rsid w:val="005938B0"/>
    <w:rsid w:val="00593BFE"/>
    <w:rsid w:val="00594CDF"/>
    <w:rsid w:val="00594D27"/>
    <w:rsid w:val="00595E60"/>
    <w:rsid w:val="00596749"/>
    <w:rsid w:val="00596B43"/>
    <w:rsid w:val="005971BD"/>
    <w:rsid w:val="005A06B9"/>
    <w:rsid w:val="005A141F"/>
    <w:rsid w:val="005A2F2D"/>
    <w:rsid w:val="005A5CF1"/>
    <w:rsid w:val="005A607F"/>
    <w:rsid w:val="005A6A72"/>
    <w:rsid w:val="005A6C81"/>
    <w:rsid w:val="005A702C"/>
    <w:rsid w:val="005A70C9"/>
    <w:rsid w:val="005A7674"/>
    <w:rsid w:val="005A7CAB"/>
    <w:rsid w:val="005B0037"/>
    <w:rsid w:val="005B1750"/>
    <w:rsid w:val="005B1D70"/>
    <w:rsid w:val="005B1E28"/>
    <w:rsid w:val="005B4EB7"/>
    <w:rsid w:val="005B5F45"/>
    <w:rsid w:val="005B68EC"/>
    <w:rsid w:val="005B6BEC"/>
    <w:rsid w:val="005C002D"/>
    <w:rsid w:val="005C02C7"/>
    <w:rsid w:val="005C1FBF"/>
    <w:rsid w:val="005C2594"/>
    <w:rsid w:val="005C2F8E"/>
    <w:rsid w:val="005C3FF7"/>
    <w:rsid w:val="005C639F"/>
    <w:rsid w:val="005C651A"/>
    <w:rsid w:val="005C7699"/>
    <w:rsid w:val="005D05DB"/>
    <w:rsid w:val="005D43D7"/>
    <w:rsid w:val="005D466F"/>
    <w:rsid w:val="005D46D1"/>
    <w:rsid w:val="005D6E2A"/>
    <w:rsid w:val="005D6F6E"/>
    <w:rsid w:val="005D701A"/>
    <w:rsid w:val="005D7F7A"/>
    <w:rsid w:val="005E0114"/>
    <w:rsid w:val="005E1F45"/>
    <w:rsid w:val="005E30A5"/>
    <w:rsid w:val="005E36EB"/>
    <w:rsid w:val="005E51D5"/>
    <w:rsid w:val="005E5246"/>
    <w:rsid w:val="005E6991"/>
    <w:rsid w:val="005E7BAC"/>
    <w:rsid w:val="005F1E14"/>
    <w:rsid w:val="005F1F58"/>
    <w:rsid w:val="005F2109"/>
    <w:rsid w:val="005F3175"/>
    <w:rsid w:val="005F34AF"/>
    <w:rsid w:val="005F3719"/>
    <w:rsid w:val="005F3A7A"/>
    <w:rsid w:val="005F3F64"/>
    <w:rsid w:val="005F4D6B"/>
    <w:rsid w:val="005F628B"/>
    <w:rsid w:val="005F6D08"/>
    <w:rsid w:val="006000BE"/>
    <w:rsid w:val="00600211"/>
    <w:rsid w:val="0060026E"/>
    <w:rsid w:val="00601A8F"/>
    <w:rsid w:val="00602FEB"/>
    <w:rsid w:val="0060420C"/>
    <w:rsid w:val="006063CE"/>
    <w:rsid w:val="00610484"/>
    <w:rsid w:val="006109F6"/>
    <w:rsid w:val="006116A2"/>
    <w:rsid w:val="00611FE7"/>
    <w:rsid w:val="00613E72"/>
    <w:rsid w:val="006143D8"/>
    <w:rsid w:val="00615243"/>
    <w:rsid w:val="00615FC7"/>
    <w:rsid w:val="0061624D"/>
    <w:rsid w:val="0061629F"/>
    <w:rsid w:val="006176FB"/>
    <w:rsid w:val="006202EB"/>
    <w:rsid w:val="006209B5"/>
    <w:rsid w:val="00620E0D"/>
    <w:rsid w:val="0062350E"/>
    <w:rsid w:val="0062444C"/>
    <w:rsid w:val="00625288"/>
    <w:rsid w:val="00626AA3"/>
    <w:rsid w:val="00626D51"/>
    <w:rsid w:val="00626DE5"/>
    <w:rsid w:val="00627D73"/>
    <w:rsid w:val="00630546"/>
    <w:rsid w:val="00632289"/>
    <w:rsid w:val="00632C63"/>
    <w:rsid w:val="00633220"/>
    <w:rsid w:val="00637D2F"/>
    <w:rsid w:val="00640BC0"/>
    <w:rsid w:val="00640E0C"/>
    <w:rsid w:val="006424CB"/>
    <w:rsid w:val="0064289C"/>
    <w:rsid w:val="00642B16"/>
    <w:rsid w:val="00642C06"/>
    <w:rsid w:val="00642E3E"/>
    <w:rsid w:val="00642E4F"/>
    <w:rsid w:val="006432C4"/>
    <w:rsid w:val="00644FD4"/>
    <w:rsid w:val="00646AB6"/>
    <w:rsid w:val="00646E23"/>
    <w:rsid w:val="006470CC"/>
    <w:rsid w:val="00647875"/>
    <w:rsid w:val="0065101E"/>
    <w:rsid w:val="006539DA"/>
    <w:rsid w:val="00653EDC"/>
    <w:rsid w:val="0065490B"/>
    <w:rsid w:val="00654A11"/>
    <w:rsid w:val="00654C81"/>
    <w:rsid w:val="00655956"/>
    <w:rsid w:val="006565B8"/>
    <w:rsid w:val="00660F2F"/>
    <w:rsid w:val="00662BD5"/>
    <w:rsid w:val="006635C8"/>
    <w:rsid w:val="00663AE5"/>
    <w:rsid w:val="0066416C"/>
    <w:rsid w:val="0066559C"/>
    <w:rsid w:val="00665D6D"/>
    <w:rsid w:val="00672CD8"/>
    <w:rsid w:val="0067407F"/>
    <w:rsid w:val="0067528E"/>
    <w:rsid w:val="00675B91"/>
    <w:rsid w:val="006767AB"/>
    <w:rsid w:val="00676AAC"/>
    <w:rsid w:val="006826BA"/>
    <w:rsid w:val="00683D09"/>
    <w:rsid w:val="00684C66"/>
    <w:rsid w:val="00685A27"/>
    <w:rsid w:val="00685B6F"/>
    <w:rsid w:val="00685FBB"/>
    <w:rsid w:val="006862DC"/>
    <w:rsid w:val="00686D63"/>
    <w:rsid w:val="006879C9"/>
    <w:rsid w:val="0069024E"/>
    <w:rsid w:val="00690C56"/>
    <w:rsid w:val="00691387"/>
    <w:rsid w:val="00693010"/>
    <w:rsid w:val="00694FDB"/>
    <w:rsid w:val="006964A1"/>
    <w:rsid w:val="00696651"/>
    <w:rsid w:val="006970DB"/>
    <w:rsid w:val="00697667"/>
    <w:rsid w:val="00697ADD"/>
    <w:rsid w:val="006A2294"/>
    <w:rsid w:val="006A2938"/>
    <w:rsid w:val="006A2AA5"/>
    <w:rsid w:val="006A5585"/>
    <w:rsid w:val="006A6A5A"/>
    <w:rsid w:val="006A7912"/>
    <w:rsid w:val="006A7D74"/>
    <w:rsid w:val="006B02CB"/>
    <w:rsid w:val="006B1547"/>
    <w:rsid w:val="006B32DB"/>
    <w:rsid w:val="006B38D5"/>
    <w:rsid w:val="006B4C8D"/>
    <w:rsid w:val="006B4F9E"/>
    <w:rsid w:val="006B4FE5"/>
    <w:rsid w:val="006B604F"/>
    <w:rsid w:val="006B6F7D"/>
    <w:rsid w:val="006B7832"/>
    <w:rsid w:val="006C075F"/>
    <w:rsid w:val="006C19AF"/>
    <w:rsid w:val="006C1E11"/>
    <w:rsid w:val="006C27F4"/>
    <w:rsid w:val="006C3C1A"/>
    <w:rsid w:val="006C4C14"/>
    <w:rsid w:val="006C5A4D"/>
    <w:rsid w:val="006C6D4D"/>
    <w:rsid w:val="006C7ADB"/>
    <w:rsid w:val="006D25A9"/>
    <w:rsid w:val="006D2F06"/>
    <w:rsid w:val="006D2F78"/>
    <w:rsid w:val="006D4992"/>
    <w:rsid w:val="006D5A8C"/>
    <w:rsid w:val="006D6481"/>
    <w:rsid w:val="006D7026"/>
    <w:rsid w:val="006D730A"/>
    <w:rsid w:val="006E07CF"/>
    <w:rsid w:val="006E1586"/>
    <w:rsid w:val="006E1BBA"/>
    <w:rsid w:val="006E235B"/>
    <w:rsid w:val="006E238A"/>
    <w:rsid w:val="006E34B5"/>
    <w:rsid w:val="006E3A11"/>
    <w:rsid w:val="006E3BF3"/>
    <w:rsid w:val="006E4643"/>
    <w:rsid w:val="006E5FDE"/>
    <w:rsid w:val="006E6066"/>
    <w:rsid w:val="006E6515"/>
    <w:rsid w:val="006E6803"/>
    <w:rsid w:val="006E6AE3"/>
    <w:rsid w:val="006E709A"/>
    <w:rsid w:val="006E714E"/>
    <w:rsid w:val="006F0109"/>
    <w:rsid w:val="006F0A4B"/>
    <w:rsid w:val="006F1C71"/>
    <w:rsid w:val="006F2BF5"/>
    <w:rsid w:val="006F4181"/>
    <w:rsid w:val="006F465F"/>
    <w:rsid w:val="006F4FDB"/>
    <w:rsid w:val="006F5A28"/>
    <w:rsid w:val="006F7581"/>
    <w:rsid w:val="006F78CC"/>
    <w:rsid w:val="006F7C3A"/>
    <w:rsid w:val="007017ED"/>
    <w:rsid w:val="007019E4"/>
    <w:rsid w:val="007021CD"/>
    <w:rsid w:val="007024B4"/>
    <w:rsid w:val="00702F6D"/>
    <w:rsid w:val="00704EDE"/>
    <w:rsid w:val="00705267"/>
    <w:rsid w:val="007055AF"/>
    <w:rsid w:val="00705CE3"/>
    <w:rsid w:val="00705ED3"/>
    <w:rsid w:val="0070620E"/>
    <w:rsid w:val="00706FB3"/>
    <w:rsid w:val="0071079F"/>
    <w:rsid w:val="00712CDD"/>
    <w:rsid w:val="00713041"/>
    <w:rsid w:val="00714AAB"/>
    <w:rsid w:val="00714C7C"/>
    <w:rsid w:val="00715905"/>
    <w:rsid w:val="00715A48"/>
    <w:rsid w:val="00716319"/>
    <w:rsid w:val="00717540"/>
    <w:rsid w:val="00717609"/>
    <w:rsid w:val="00720810"/>
    <w:rsid w:val="00721137"/>
    <w:rsid w:val="0072333C"/>
    <w:rsid w:val="00723F8A"/>
    <w:rsid w:val="00725199"/>
    <w:rsid w:val="0072554B"/>
    <w:rsid w:val="0072563A"/>
    <w:rsid w:val="00725B29"/>
    <w:rsid w:val="00725D7C"/>
    <w:rsid w:val="00727D46"/>
    <w:rsid w:val="007318FB"/>
    <w:rsid w:val="0073224E"/>
    <w:rsid w:val="00732511"/>
    <w:rsid w:val="00735BE0"/>
    <w:rsid w:val="007360E0"/>
    <w:rsid w:val="00737796"/>
    <w:rsid w:val="00737F18"/>
    <w:rsid w:val="00741C60"/>
    <w:rsid w:val="00744943"/>
    <w:rsid w:val="00745223"/>
    <w:rsid w:val="00747EE4"/>
    <w:rsid w:val="00750462"/>
    <w:rsid w:val="007506EE"/>
    <w:rsid w:val="007513EF"/>
    <w:rsid w:val="007521AF"/>
    <w:rsid w:val="007524CA"/>
    <w:rsid w:val="00752A15"/>
    <w:rsid w:val="0075324F"/>
    <w:rsid w:val="00753A2D"/>
    <w:rsid w:val="00753C5B"/>
    <w:rsid w:val="00754738"/>
    <w:rsid w:val="00754939"/>
    <w:rsid w:val="0075540B"/>
    <w:rsid w:val="00755D08"/>
    <w:rsid w:val="007571C8"/>
    <w:rsid w:val="00757BD4"/>
    <w:rsid w:val="00760E27"/>
    <w:rsid w:val="00760E54"/>
    <w:rsid w:val="007615C9"/>
    <w:rsid w:val="00761709"/>
    <w:rsid w:val="00761F82"/>
    <w:rsid w:val="00763076"/>
    <w:rsid w:val="0076477E"/>
    <w:rsid w:val="007658E7"/>
    <w:rsid w:val="0076726F"/>
    <w:rsid w:val="007676C8"/>
    <w:rsid w:val="00767DA6"/>
    <w:rsid w:val="0077023C"/>
    <w:rsid w:val="00771048"/>
    <w:rsid w:val="007730E3"/>
    <w:rsid w:val="00773A3F"/>
    <w:rsid w:val="00774E6E"/>
    <w:rsid w:val="00776683"/>
    <w:rsid w:val="00776D8E"/>
    <w:rsid w:val="00777D2D"/>
    <w:rsid w:val="00780205"/>
    <w:rsid w:val="0078114A"/>
    <w:rsid w:val="00781B19"/>
    <w:rsid w:val="00784E32"/>
    <w:rsid w:val="00785DD0"/>
    <w:rsid w:val="00785FB3"/>
    <w:rsid w:val="00786093"/>
    <w:rsid w:val="007879FB"/>
    <w:rsid w:val="0079016A"/>
    <w:rsid w:val="00791691"/>
    <w:rsid w:val="00791715"/>
    <w:rsid w:val="00792083"/>
    <w:rsid w:val="007924EF"/>
    <w:rsid w:val="00792AB9"/>
    <w:rsid w:val="00793079"/>
    <w:rsid w:val="00793FDC"/>
    <w:rsid w:val="00794B02"/>
    <w:rsid w:val="007A12BF"/>
    <w:rsid w:val="007A1490"/>
    <w:rsid w:val="007A16CF"/>
    <w:rsid w:val="007A3948"/>
    <w:rsid w:val="007A4182"/>
    <w:rsid w:val="007A41FC"/>
    <w:rsid w:val="007A48DD"/>
    <w:rsid w:val="007A55D2"/>
    <w:rsid w:val="007A730A"/>
    <w:rsid w:val="007B033D"/>
    <w:rsid w:val="007B31EF"/>
    <w:rsid w:val="007B54CD"/>
    <w:rsid w:val="007B5A55"/>
    <w:rsid w:val="007B68F4"/>
    <w:rsid w:val="007B7090"/>
    <w:rsid w:val="007B7529"/>
    <w:rsid w:val="007C0D8A"/>
    <w:rsid w:val="007C1B6B"/>
    <w:rsid w:val="007C2734"/>
    <w:rsid w:val="007C2F59"/>
    <w:rsid w:val="007C3540"/>
    <w:rsid w:val="007C37B4"/>
    <w:rsid w:val="007C4063"/>
    <w:rsid w:val="007C4719"/>
    <w:rsid w:val="007C4D6E"/>
    <w:rsid w:val="007C4EF2"/>
    <w:rsid w:val="007C56CE"/>
    <w:rsid w:val="007C71FF"/>
    <w:rsid w:val="007D0C2B"/>
    <w:rsid w:val="007D0E6D"/>
    <w:rsid w:val="007D1A0F"/>
    <w:rsid w:val="007D2818"/>
    <w:rsid w:val="007D29D6"/>
    <w:rsid w:val="007D50D2"/>
    <w:rsid w:val="007D57BB"/>
    <w:rsid w:val="007D5E92"/>
    <w:rsid w:val="007E1F35"/>
    <w:rsid w:val="007E29AC"/>
    <w:rsid w:val="007E36F1"/>
    <w:rsid w:val="007E4C2D"/>
    <w:rsid w:val="007E5911"/>
    <w:rsid w:val="007E62DA"/>
    <w:rsid w:val="007E6FBD"/>
    <w:rsid w:val="007E7F5E"/>
    <w:rsid w:val="007F17AB"/>
    <w:rsid w:val="007F371F"/>
    <w:rsid w:val="007F3A34"/>
    <w:rsid w:val="007F5F7E"/>
    <w:rsid w:val="007F62CD"/>
    <w:rsid w:val="007F6CAB"/>
    <w:rsid w:val="00800686"/>
    <w:rsid w:val="00803135"/>
    <w:rsid w:val="0080402F"/>
    <w:rsid w:val="00804222"/>
    <w:rsid w:val="008047DF"/>
    <w:rsid w:val="00804954"/>
    <w:rsid w:val="008049A3"/>
    <w:rsid w:val="00804D31"/>
    <w:rsid w:val="00805AF3"/>
    <w:rsid w:val="00807A70"/>
    <w:rsid w:val="00813371"/>
    <w:rsid w:val="008141D4"/>
    <w:rsid w:val="00814DE6"/>
    <w:rsid w:val="00814ED0"/>
    <w:rsid w:val="00815699"/>
    <w:rsid w:val="008164F0"/>
    <w:rsid w:val="00816FF8"/>
    <w:rsid w:val="00817587"/>
    <w:rsid w:val="0081761B"/>
    <w:rsid w:val="00817CEB"/>
    <w:rsid w:val="00817F5C"/>
    <w:rsid w:val="00820409"/>
    <w:rsid w:val="00820514"/>
    <w:rsid w:val="00822419"/>
    <w:rsid w:val="00823B3D"/>
    <w:rsid w:val="00824440"/>
    <w:rsid w:val="0082738D"/>
    <w:rsid w:val="00827F7D"/>
    <w:rsid w:val="00832C5F"/>
    <w:rsid w:val="00833215"/>
    <w:rsid w:val="00833E27"/>
    <w:rsid w:val="00835126"/>
    <w:rsid w:val="008351FF"/>
    <w:rsid w:val="00835FAF"/>
    <w:rsid w:val="00836E1C"/>
    <w:rsid w:val="00837E19"/>
    <w:rsid w:val="0084106E"/>
    <w:rsid w:val="00841508"/>
    <w:rsid w:val="00841AF0"/>
    <w:rsid w:val="008427A3"/>
    <w:rsid w:val="00842BB7"/>
    <w:rsid w:val="008433A3"/>
    <w:rsid w:val="008436BD"/>
    <w:rsid w:val="00843CF1"/>
    <w:rsid w:val="00843DB2"/>
    <w:rsid w:val="008444C2"/>
    <w:rsid w:val="0084531E"/>
    <w:rsid w:val="00845489"/>
    <w:rsid w:val="00845E8E"/>
    <w:rsid w:val="0084645E"/>
    <w:rsid w:val="00846C88"/>
    <w:rsid w:val="0085340A"/>
    <w:rsid w:val="00853DFD"/>
    <w:rsid w:val="0085729A"/>
    <w:rsid w:val="008575FE"/>
    <w:rsid w:val="00860295"/>
    <w:rsid w:val="008610A2"/>
    <w:rsid w:val="00861648"/>
    <w:rsid w:val="00861819"/>
    <w:rsid w:val="00861D99"/>
    <w:rsid w:val="00862189"/>
    <w:rsid w:val="00862E0D"/>
    <w:rsid w:val="00863227"/>
    <w:rsid w:val="008634D2"/>
    <w:rsid w:val="0086486A"/>
    <w:rsid w:val="00864D71"/>
    <w:rsid w:val="0086554D"/>
    <w:rsid w:val="008655ED"/>
    <w:rsid w:val="00865FBB"/>
    <w:rsid w:val="00866C8F"/>
    <w:rsid w:val="00867A12"/>
    <w:rsid w:val="00867EBD"/>
    <w:rsid w:val="00870A64"/>
    <w:rsid w:val="00870F5D"/>
    <w:rsid w:val="00873163"/>
    <w:rsid w:val="0087346E"/>
    <w:rsid w:val="008737A7"/>
    <w:rsid w:val="008738A6"/>
    <w:rsid w:val="00874C62"/>
    <w:rsid w:val="00875D15"/>
    <w:rsid w:val="00876000"/>
    <w:rsid w:val="008770B3"/>
    <w:rsid w:val="00880D55"/>
    <w:rsid w:val="00883D8F"/>
    <w:rsid w:val="00884963"/>
    <w:rsid w:val="00890DCF"/>
    <w:rsid w:val="008913E4"/>
    <w:rsid w:val="00892AC0"/>
    <w:rsid w:val="00892F1A"/>
    <w:rsid w:val="00893074"/>
    <w:rsid w:val="00893ACE"/>
    <w:rsid w:val="00894C0C"/>
    <w:rsid w:val="0089577F"/>
    <w:rsid w:val="00895AE1"/>
    <w:rsid w:val="00895BBC"/>
    <w:rsid w:val="00896746"/>
    <w:rsid w:val="008A0BB4"/>
    <w:rsid w:val="008A0EA7"/>
    <w:rsid w:val="008A1307"/>
    <w:rsid w:val="008A47F7"/>
    <w:rsid w:val="008A4BE8"/>
    <w:rsid w:val="008A572E"/>
    <w:rsid w:val="008A6613"/>
    <w:rsid w:val="008A6998"/>
    <w:rsid w:val="008A6AFC"/>
    <w:rsid w:val="008A6FC0"/>
    <w:rsid w:val="008A7D8C"/>
    <w:rsid w:val="008B08AE"/>
    <w:rsid w:val="008B243C"/>
    <w:rsid w:val="008B33FC"/>
    <w:rsid w:val="008B4DC1"/>
    <w:rsid w:val="008B5270"/>
    <w:rsid w:val="008B5693"/>
    <w:rsid w:val="008B6708"/>
    <w:rsid w:val="008B6EC2"/>
    <w:rsid w:val="008B6F45"/>
    <w:rsid w:val="008B776E"/>
    <w:rsid w:val="008B7F88"/>
    <w:rsid w:val="008C0D19"/>
    <w:rsid w:val="008C1EA3"/>
    <w:rsid w:val="008C2642"/>
    <w:rsid w:val="008C64A6"/>
    <w:rsid w:val="008D0101"/>
    <w:rsid w:val="008D2C27"/>
    <w:rsid w:val="008D309B"/>
    <w:rsid w:val="008D354B"/>
    <w:rsid w:val="008D4449"/>
    <w:rsid w:val="008D4774"/>
    <w:rsid w:val="008E0235"/>
    <w:rsid w:val="008E091F"/>
    <w:rsid w:val="008E0FCB"/>
    <w:rsid w:val="008E2643"/>
    <w:rsid w:val="008E2D22"/>
    <w:rsid w:val="008E33D4"/>
    <w:rsid w:val="008E373D"/>
    <w:rsid w:val="008E39E4"/>
    <w:rsid w:val="008E4075"/>
    <w:rsid w:val="008E729B"/>
    <w:rsid w:val="008E7A13"/>
    <w:rsid w:val="008F1103"/>
    <w:rsid w:val="008F202E"/>
    <w:rsid w:val="008F33F5"/>
    <w:rsid w:val="008F36F5"/>
    <w:rsid w:val="008F3F54"/>
    <w:rsid w:val="008F3F6A"/>
    <w:rsid w:val="008F4898"/>
    <w:rsid w:val="008F4C4D"/>
    <w:rsid w:val="008F4F52"/>
    <w:rsid w:val="008F5B93"/>
    <w:rsid w:val="008F71FF"/>
    <w:rsid w:val="008F7334"/>
    <w:rsid w:val="008F7BC7"/>
    <w:rsid w:val="009009F4"/>
    <w:rsid w:val="00900FB1"/>
    <w:rsid w:val="00901E92"/>
    <w:rsid w:val="00902B3B"/>
    <w:rsid w:val="00902DA4"/>
    <w:rsid w:val="00903902"/>
    <w:rsid w:val="00903B3F"/>
    <w:rsid w:val="00904501"/>
    <w:rsid w:val="009046FF"/>
    <w:rsid w:val="00904BA8"/>
    <w:rsid w:val="00904CC7"/>
    <w:rsid w:val="00904FF8"/>
    <w:rsid w:val="00905C61"/>
    <w:rsid w:val="00906D9B"/>
    <w:rsid w:val="00907DB6"/>
    <w:rsid w:val="00910628"/>
    <w:rsid w:val="00911D20"/>
    <w:rsid w:val="00912261"/>
    <w:rsid w:val="0091249A"/>
    <w:rsid w:val="0091250B"/>
    <w:rsid w:val="00913561"/>
    <w:rsid w:val="009157CF"/>
    <w:rsid w:val="009177AE"/>
    <w:rsid w:val="00917B59"/>
    <w:rsid w:val="00917F84"/>
    <w:rsid w:val="009204D5"/>
    <w:rsid w:val="0092093B"/>
    <w:rsid w:val="00920FD2"/>
    <w:rsid w:val="0092197F"/>
    <w:rsid w:val="00922513"/>
    <w:rsid w:val="00923012"/>
    <w:rsid w:val="009232D6"/>
    <w:rsid w:val="00923966"/>
    <w:rsid w:val="00924617"/>
    <w:rsid w:val="00924FB9"/>
    <w:rsid w:val="009259B8"/>
    <w:rsid w:val="00925ED1"/>
    <w:rsid w:val="0092653E"/>
    <w:rsid w:val="0092670A"/>
    <w:rsid w:val="00927534"/>
    <w:rsid w:val="00930722"/>
    <w:rsid w:val="00930E46"/>
    <w:rsid w:val="00931511"/>
    <w:rsid w:val="00931FA1"/>
    <w:rsid w:val="0093252D"/>
    <w:rsid w:val="0093457A"/>
    <w:rsid w:val="009346DF"/>
    <w:rsid w:val="00936B36"/>
    <w:rsid w:val="00936CD8"/>
    <w:rsid w:val="009406C1"/>
    <w:rsid w:val="00940E5E"/>
    <w:rsid w:val="00942B3A"/>
    <w:rsid w:val="0094320E"/>
    <w:rsid w:val="00946276"/>
    <w:rsid w:val="00950085"/>
    <w:rsid w:val="00950811"/>
    <w:rsid w:val="009511AE"/>
    <w:rsid w:val="0095128D"/>
    <w:rsid w:val="0095209D"/>
    <w:rsid w:val="00952D2E"/>
    <w:rsid w:val="0095458D"/>
    <w:rsid w:val="00955402"/>
    <w:rsid w:val="0095570F"/>
    <w:rsid w:val="00955790"/>
    <w:rsid w:val="00955980"/>
    <w:rsid w:val="00955B0A"/>
    <w:rsid w:val="00955E7E"/>
    <w:rsid w:val="009569E5"/>
    <w:rsid w:val="00956D1D"/>
    <w:rsid w:val="00960158"/>
    <w:rsid w:val="009608BE"/>
    <w:rsid w:val="00961F36"/>
    <w:rsid w:val="00963DBD"/>
    <w:rsid w:val="009642F9"/>
    <w:rsid w:val="00964474"/>
    <w:rsid w:val="00965572"/>
    <w:rsid w:val="00965904"/>
    <w:rsid w:val="009667E5"/>
    <w:rsid w:val="00966E83"/>
    <w:rsid w:val="00970D2A"/>
    <w:rsid w:val="00971400"/>
    <w:rsid w:val="00971503"/>
    <w:rsid w:val="00972815"/>
    <w:rsid w:val="0097670F"/>
    <w:rsid w:val="009769AC"/>
    <w:rsid w:val="009777DA"/>
    <w:rsid w:val="00977F1D"/>
    <w:rsid w:val="00981342"/>
    <w:rsid w:val="00983504"/>
    <w:rsid w:val="00985F8B"/>
    <w:rsid w:val="00986A40"/>
    <w:rsid w:val="00987843"/>
    <w:rsid w:val="00987898"/>
    <w:rsid w:val="00987BDC"/>
    <w:rsid w:val="00990611"/>
    <w:rsid w:val="0099071B"/>
    <w:rsid w:val="00994FCB"/>
    <w:rsid w:val="009954F3"/>
    <w:rsid w:val="00995594"/>
    <w:rsid w:val="009956D9"/>
    <w:rsid w:val="0099574A"/>
    <w:rsid w:val="00996D7E"/>
    <w:rsid w:val="0099741F"/>
    <w:rsid w:val="0099780C"/>
    <w:rsid w:val="009978D4"/>
    <w:rsid w:val="00997E61"/>
    <w:rsid w:val="009A02F3"/>
    <w:rsid w:val="009A08C0"/>
    <w:rsid w:val="009A2077"/>
    <w:rsid w:val="009A4530"/>
    <w:rsid w:val="009A4C79"/>
    <w:rsid w:val="009A68B3"/>
    <w:rsid w:val="009A6930"/>
    <w:rsid w:val="009B03BA"/>
    <w:rsid w:val="009B10F5"/>
    <w:rsid w:val="009B110E"/>
    <w:rsid w:val="009B3BA6"/>
    <w:rsid w:val="009B44D2"/>
    <w:rsid w:val="009B5AC6"/>
    <w:rsid w:val="009B5D37"/>
    <w:rsid w:val="009B7BB9"/>
    <w:rsid w:val="009C04BD"/>
    <w:rsid w:val="009C1AAE"/>
    <w:rsid w:val="009C280E"/>
    <w:rsid w:val="009C4094"/>
    <w:rsid w:val="009C40A6"/>
    <w:rsid w:val="009C7DF6"/>
    <w:rsid w:val="009D185A"/>
    <w:rsid w:val="009D1DED"/>
    <w:rsid w:val="009D244E"/>
    <w:rsid w:val="009D2803"/>
    <w:rsid w:val="009D2BB9"/>
    <w:rsid w:val="009D51BD"/>
    <w:rsid w:val="009D52B4"/>
    <w:rsid w:val="009D59BA"/>
    <w:rsid w:val="009D6069"/>
    <w:rsid w:val="009D60CE"/>
    <w:rsid w:val="009D7185"/>
    <w:rsid w:val="009D761D"/>
    <w:rsid w:val="009D7900"/>
    <w:rsid w:val="009D796E"/>
    <w:rsid w:val="009D7C6E"/>
    <w:rsid w:val="009E1165"/>
    <w:rsid w:val="009E31F4"/>
    <w:rsid w:val="009E3E90"/>
    <w:rsid w:val="009E5B43"/>
    <w:rsid w:val="009E5DFF"/>
    <w:rsid w:val="009E6C09"/>
    <w:rsid w:val="009E7F0B"/>
    <w:rsid w:val="009F17D9"/>
    <w:rsid w:val="009F1818"/>
    <w:rsid w:val="009F2648"/>
    <w:rsid w:val="009F64FF"/>
    <w:rsid w:val="009F7425"/>
    <w:rsid w:val="009F78B0"/>
    <w:rsid w:val="00A014FA"/>
    <w:rsid w:val="00A03303"/>
    <w:rsid w:val="00A04AA1"/>
    <w:rsid w:val="00A04AFF"/>
    <w:rsid w:val="00A07012"/>
    <w:rsid w:val="00A0745B"/>
    <w:rsid w:val="00A11752"/>
    <w:rsid w:val="00A117FD"/>
    <w:rsid w:val="00A11F2E"/>
    <w:rsid w:val="00A12701"/>
    <w:rsid w:val="00A12996"/>
    <w:rsid w:val="00A1406E"/>
    <w:rsid w:val="00A15239"/>
    <w:rsid w:val="00A15AB8"/>
    <w:rsid w:val="00A15EE1"/>
    <w:rsid w:val="00A20F12"/>
    <w:rsid w:val="00A222D7"/>
    <w:rsid w:val="00A22BA1"/>
    <w:rsid w:val="00A234A8"/>
    <w:rsid w:val="00A26B05"/>
    <w:rsid w:val="00A2714B"/>
    <w:rsid w:val="00A322D2"/>
    <w:rsid w:val="00A32E6D"/>
    <w:rsid w:val="00A3543C"/>
    <w:rsid w:val="00A356C7"/>
    <w:rsid w:val="00A35ACE"/>
    <w:rsid w:val="00A35C42"/>
    <w:rsid w:val="00A365B0"/>
    <w:rsid w:val="00A369D5"/>
    <w:rsid w:val="00A40325"/>
    <w:rsid w:val="00A41A3F"/>
    <w:rsid w:val="00A41DA9"/>
    <w:rsid w:val="00A424E2"/>
    <w:rsid w:val="00A4268A"/>
    <w:rsid w:val="00A42D5E"/>
    <w:rsid w:val="00A43139"/>
    <w:rsid w:val="00A4326E"/>
    <w:rsid w:val="00A44D91"/>
    <w:rsid w:val="00A45403"/>
    <w:rsid w:val="00A4649A"/>
    <w:rsid w:val="00A46CE6"/>
    <w:rsid w:val="00A47416"/>
    <w:rsid w:val="00A50C75"/>
    <w:rsid w:val="00A50CED"/>
    <w:rsid w:val="00A52044"/>
    <w:rsid w:val="00A54A5B"/>
    <w:rsid w:val="00A55580"/>
    <w:rsid w:val="00A55639"/>
    <w:rsid w:val="00A55CDD"/>
    <w:rsid w:val="00A56DE6"/>
    <w:rsid w:val="00A57E34"/>
    <w:rsid w:val="00A60D42"/>
    <w:rsid w:val="00A60F00"/>
    <w:rsid w:val="00A61435"/>
    <w:rsid w:val="00A61456"/>
    <w:rsid w:val="00A61DA8"/>
    <w:rsid w:val="00A62430"/>
    <w:rsid w:val="00A62931"/>
    <w:rsid w:val="00A63104"/>
    <w:rsid w:val="00A63799"/>
    <w:rsid w:val="00A63F95"/>
    <w:rsid w:val="00A64CCD"/>
    <w:rsid w:val="00A64D41"/>
    <w:rsid w:val="00A65173"/>
    <w:rsid w:val="00A65C1A"/>
    <w:rsid w:val="00A661D7"/>
    <w:rsid w:val="00A66520"/>
    <w:rsid w:val="00A66A18"/>
    <w:rsid w:val="00A679FE"/>
    <w:rsid w:val="00A67AFB"/>
    <w:rsid w:val="00A700D8"/>
    <w:rsid w:val="00A70668"/>
    <w:rsid w:val="00A741D6"/>
    <w:rsid w:val="00A744D1"/>
    <w:rsid w:val="00A75378"/>
    <w:rsid w:val="00A754D3"/>
    <w:rsid w:val="00A76DE2"/>
    <w:rsid w:val="00A77B30"/>
    <w:rsid w:val="00A8107F"/>
    <w:rsid w:val="00A83363"/>
    <w:rsid w:val="00A835FE"/>
    <w:rsid w:val="00A83B8B"/>
    <w:rsid w:val="00A84429"/>
    <w:rsid w:val="00A84910"/>
    <w:rsid w:val="00A85C9C"/>
    <w:rsid w:val="00A86253"/>
    <w:rsid w:val="00A86E8C"/>
    <w:rsid w:val="00A87BE4"/>
    <w:rsid w:val="00A914A5"/>
    <w:rsid w:val="00A91A21"/>
    <w:rsid w:val="00A921D3"/>
    <w:rsid w:val="00A941C1"/>
    <w:rsid w:val="00A949C9"/>
    <w:rsid w:val="00A94C64"/>
    <w:rsid w:val="00A960C3"/>
    <w:rsid w:val="00A96786"/>
    <w:rsid w:val="00A96DC6"/>
    <w:rsid w:val="00AA1763"/>
    <w:rsid w:val="00AA2082"/>
    <w:rsid w:val="00AA247D"/>
    <w:rsid w:val="00AA2C42"/>
    <w:rsid w:val="00AA43AE"/>
    <w:rsid w:val="00AA6EF9"/>
    <w:rsid w:val="00AA796D"/>
    <w:rsid w:val="00AA7997"/>
    <w:rsid w:val="00AB0990"/>
    <w:rsid w:val="00AB1859"/>
    <w:rsid w:val="00AB2B4D"/>
    <w:rsid w:val="00AB2D34"/>
    <w:rsid w:val="00AB46F3"/>
    <w:rsid w:val="00AB5594"/>
    <w:rsid w:val="00AB55C3"/>
    <w:rsid w:val="00AB56FE"/>
    <w:rsid w:val="00AC08EF"/>
    <w:rsid w:val="00AC1AE9"/>
    <w:rsid w:val="00AC22BC"/>
    <w:rsid w:val="00AC2FFD"/>
    <w:rsid w:val="00AC30C6"/>
    <w:rsid w:val="00AC31A9"/>
    <w:rsid w:val="00AC3BBA"/>
    <w:rsid w:val="00AC3C78"/>
    <w:rsid w:val="00AC3E97"/>
    <w:rsid w:val="00AC5053"/>
    <w:rsid w:val="00AC6AD7"/>
    <w:rsid w:val="00AC71FE"/>
    <w:rsid w:val="00AD13F5"/>
    <w:rsid w:val="00AD1680"/>
    <w:rsid w:val="00AD1E17"/>
    <w:rsid w:val="00AD31D0"/>
    <w:rsid w:val="00AD463C"/>
    <w:rsid w:val="00AD4A5A"/>
    <w:rsid w:val="00AD5992"/>
    <w:rsid w:val="00AD6272"/>
    <w:rsid w:val="00AD7F5F"/>
    <w:rsid w:val="00AE06DB"/>
    <w:rsid w:val="00AE08F9"/>
    <w:rsid w:val="00AE123D"/>
    <w:rsid w:val="00AE1789"/>
    <w:rsid w:val="00AE235B"/>
    <w:rsid w:val="00AE27D2"/>
    <w:rsid w:val="00AE2827"/>
    <w:rsid w:val="00AE4D02"/>
    <w:rsid w:val="00AE5272"/>
    <w:rsid w:val="00AE52A4"/>
    <w:rsid w:val="00AE7C14"/>
    <w:rsid w:val="00AF04C4"/>
    <w:rsid w:val="00AF097B"/>
    <w:rsid w:val="00AF13AD"/>
    <w:rsid w:val="00AF1A60"/>
    <w:rsid w:val="00AF2903"/>
    <w:rsid w:val="00AF45B8"/>
    <w:rsid w:val="00AF5213"/>
    <w:rsid w:val="00AF5E71"/>
    <w:rsid w:val="00AF7B7A"/>
    <w:rsid w:val="00B0010A"/>
    <w:rsid w:val="00B01A9B"/>
    <w:rsid w:val="00B0224A"/>
    <w:rsid w:val="00B027EE"/>
    <w:rsid w:val="00B02B53"/>
    <w:rsid w:val="00B03FB6"/>
    <w:rsid w:val="00B040A3"/>
    <w:rsid w:val="00B04131"/>
    <w:rsid w:val="00B04539"/>
    <w:rsid w:val="00B0585E"/>
    <w:rsid w:val="00B06027"/>
    <w:rsid w:val="00B0654C"/>
    <w:rsid w:val="00B0775A"/>
    <w:rsid w:val="00B106F6"/>
    <w:rsid w:val="00B118FE"/>
    <w:rsid w:val="00B1198D"/>
    <w:rsid w:val="00B124F2"/>
    <w:rsid w:val="00B13833"/>
    <w:rsid w:val="00B14DA8"/>
    <w:rsid w:val="00B14EB5"/>
    <w:rsid w:val="00B15707"/>
    <w:rsid w:val="00B15CCD"/>
    <w:rsid w:val="00B208A0"/>
    <w:rsid w:val="00B20F7A"/>
    <w:rsid w:val="00B21AC1"/>
    <w:rsid w:val="00B21C05"/>
    <w:rsid w:val="00B222CA"/>
    <w:rsid w:val="00B2232F"/>
    <w:rsid w:val="00B22F7B"/>
    <w:rsid w:val="00B232CA"/>
    <w:rsid w:val="00B23959"/>
    <w:rsid w:val="00B23E8C"/>
    <w:rsid w:val="00B26A91"/>
    <w:rsid w:val="00B27EFE"/>
    <w:rsid w:val="00B3087F"/>
    <w:rsid w:val="00B309FE"/>
    <w:rsid w:val="00B33B19"/>
    <w:rsid w:val="00B34D59"/>
    <w:rsid w:val="00B34E19"/>
    <w:rsid w:val="00B35698"/>
    <w:rsid w:val="00B35A63"/>
    <w:rsid w:val="00B36608"/>
    <w:rsid w:val="00B371A2"/>
    <w:rsid w:val="00B4016F"/>
    <w:rsid w:val="00B40827"/>
    <w:rsid w:val="00B4089A"/>
    <w:rsid w:val="00B40FBF"/>
    <w:rsid w:val="00B41729"/>
    <w:rsid w:val="00B41F96"/>
    <w:rsid w:val="00B424F4"/>
    <w:rsid w:val="00B45DE1"/>
    <w:rsid w:val="00B46F43"/>
    <w:rsid w:val="00B5054D"/>
    <w:rsid w:val="00B518D7"/>
    <w:rsid w:val="00B51EE5"/>
    <w:rsid w:val="00B52597"/>
    <w:rsid w:val="00B539E7"/>
    <w:rsid w:val="00B53D4B"/>
    <w:rsid w:val="00B5412E"/>
    <w:rsid w:val="00B5619C"/>
    <w:rsid w:val="00B56F96"/>
    <w:rsid w:val="00B57629"/>
    <w:rsid w:val="00B57B01"/>
    <w:rsid w:val="00B57DB9"/>
    <w:rsid w:val="00B6082B"/>
    <w:rsid w:val="00B612AF"/>
    <w:rsid w:val="00B61971"/>
    <w:rsid w:val="00B622E9"/>
    <w:rsid w:val="00B627CB"/>
    <w:rsid w:val="00B64859"/>
    <w:rsid w:val="00B65962"/>
    <w:rsid w:val="00B67803"/>
    <w:rsid w:val="00B707B2"/>
    <w:rsid w:val="00B7109C"/>
    <w:rsid w:val="00B71597"/>
    <w:rsid w:val="00B7198E"/>
    <w:rsid w:val="00B76317"/>
    <w:rsid w:val="00B80646"/>
    <w:rsid w:val="00B80B30"/>
    <w:rsid w:val="00B80C3E"/>
    <w:rsid w:val="00B81405"/>
    <w:rsid w:val="00B824C1"/>
    <w:rsid w:val="00B8482A"/>
    <w:rsid w:val="00B84BAB"/>
    <w:rsid w:val="00B85AD9"/>
    <w:rsid w:val="00B86F55"/>
    <w:rsid w:val="00B90288"/>
    <w:rsid w:val="00B926A5"/>
    <w:rsid w:val="00B927F2"/>
    <w:rsid w:val="00B93BE7"/>
    <w:rsid w:val="00B94C80"/>
    <w:rsid w:val="00B95F83"/>
    <w:rsid w:val="00B96A4A"/>
    <w:rsid w:val="00BA1971"/>
    <w:rsid w:val="00BA1EEA"/>
    <w:rsid w:val="00BA347C"/>
    <w:rsid w:val="00BA49AB"/>
    <w:rsid w:val="00BA5720"/>
    <w:rsid w:val="00BA573E"/>
    <w:rsid w:val="00BA5A07"/>
    <w:rsid w:val="00BA6621"/>
    <w:rsid w:val="00BA6923"/>
    <w:rsid w:val="00BA6D0D"/>
    <w:rsid w:val="00BA7016"/>
    <w:rsid w:val="00BA7737"/>
    <w:rsid w:val="00BB12B9"/>
    <w:rsid w:val="00BB1580"/>
    <w:rsid w:val="00BB3B4F"/>
    <w:rsid w:val="00BB533C"/>
    <w:rsid w:val="00BB65FA"/>
    <w:rsid w:val="00BB7246"/>
    <w:rsid w:val="00BB744A"/>
    <w:rsid w:val="00BB754D"/>
    <w:rsid w:val="00BB7EF8"/>
    <w:rsid w:val="00BC04E9"/>
    <w:rsid w:val="00BC0A76"/>
    <w:rsid w:val="00BC0C3C"/>
    <w:rsid w:val="00BC140B"/>
    <w:rsid w:val="00BC33AC"/>
    <w:rsid w:val="00BC424F"/>
    <w:rsid w:val="00BC4BF3"/>
    <w:rsid w:val="00BC4D9A"/>
    <w:rsid w:val="00BC5955"/>
    <w:rsid w:val="00BC6891"/>
    <w:rsid w:val="00BC6AB9"/>
    <w:rsid w:val="00BC6DDF"/>
    <w:rsid w:val="00BD55C5"/>
    <w:rsid w:val="00BE09DA"/>
    <w:rsid w:val="00BE1678"/>
    <w:rsid w:val="00BE1D5E"/>
    <w:rsid w:val="00BE2396"/>
    <w:rsid w:val="00BE2580"/>
    <w:rsid w:val="00BE2975"/>
    <w:rsid w:val="00BE2C85"/>
    <w:rsid w:val="00BE3AE8"/>
    <w:rsid w:val="00BE3E39"/>
    <w:rsid w:val="00BE44BD"/>
    <w:rsid w:val="00BE5452"/>
    <w:rsid w:val="00BE587B"/>
    <w:rsid w:val="00BE5FFB"/>
    <w:rsid w:val="00BE63AA"/>
    <w:rsid w:val="00BE6407"/>
    <w:rsid w:val="00BE6F32"/>
    <w:rsid w:val="00BE7EFC"/>
    <w:rsid w:val="00BF0874"/>
    <w:rsid w:val="00BF1BDC"/>
    <w:rsid w:val="00BF2E8E"/>
    <w:rsid w:val="00BF5FFA"/>
    <w:rsid w:val="00BF6958"/>
    <w:rsid w:val="00BF757A"/>
    <w:rsid w:val="00BF7827"/>
    <w:rsid w:val="00BF7E4D"/>
    <w:rsid w:val="00C00076"/>
    <w:rsid w:val="00C01959"/>
    <w:rsid w:val="00C01D57"/>
    <w:rsid w:val="00C03014"/>
    <w:rsid w:val="00C0418B"/>
    <w:rsid w:val="00C0435E"/>
    <w:rsid w:val="00C0451E"/>
    <w:rsid w:val="00C0699D"/>
    <w:rsid w:val="00C10E5A"/>
    <w:rsid w:val="00C110B7"/>
    <w:rsid w:val="00C110CC"/>
    <w:rsid w:val="00C126CE"/>
    <w:rsid w:val="00C1300E"/>
    <w:rsid w:val="00C13B2B"/>
    <w:rsid w:val="00C16752"/>
    <w:rsid w:val="00C171FD"/>
    <w:rsid w:val="00C1767E"/>
    <w:rsid w:val="00C17695"/>
    <w:rsid w:val="00C208F4"/>
    <w:rsid w:val="00C20F6B"/>
    <w:rsid w:val="00C213BB"/>
    <w:rsid w:val="00C215E3"/>
    <w:rsid w:val="00C22056"/>
    <w:rsid w:val="00C22419"/>
    <w:rsid w:val="00C22B88"/>
    <w:rsid w:val="00C22D45"/>
    <w:rsid w:val="00C24151"/>
    <w:rsid w:val="00C24F7A"/>
    <w:rsid w:val="00C2658D"/>
    <w:rsid w:val="00C2660D"/>
    <w:rsid w:val="00C27250"/>
    <w:rsid w:val="00C27B54"/>
    <w:rsid w:val="00C27E1E"/>
    <w:rsid w:val="00C304A1"/>
    <w:rsid w:val="00C305F5"/>
    <w:rsid w:val="00C31AC1"/>
    <w:rsid w:val="00C31E8F"/>
    <w:rsid w:val="00C35862"/>
    <w:rsid w:val="00C35869"/>
    <w:rsid w:val="00C360AE"/>
    <w:rsid w:val="00C37824"/>
    <w:rsid w:val="00C3785C"/>
    <w:rsid w:val="00C41E05"/>
    <w:rsid w:val="00C42FF8"/>
    <w:rsid w:val="00C434D5"/>
    <w:rsid w:val="00C44831"/>
    <w:rsid w:val="00C45BDE"/>
    <w:rsid w:val="00C4614F"/>
    <w:rsid w:val="00C47748"/>
    <w:rsid w:val="00C528D3"/>
    <w:rsid w:val="00C52FC8"/>
    <w:rsid w:val="00C53501"/>
    <w:rsid w:val="00C53B39"/>
    <w:rsid w:val="00C55E49"/>
    <w:rsid w:val="00C56337"/>
    <w:rsid w:val="00C56475"/>
    <w:rsid w:val="00C602A9"/>
    <w:rsid w:val="00C60F30"/>
    <w:rsid w:val="00C61865"/>
    <w:rsid w:val="00C621BA"/>
    <w:rsid w:val="00C624C3"/>
    <w:rsid w:val="00C63847"/>
    <w:rsid w:val="00C645A8"/>
    <w:rsid w:val="00C650D3"/>
    <w:rsid w:val="00C65393"/>
    <w:rsid w:val="00C655CB"/>
    <w:rsid w:val="00C665B7"/>
    <w:rsid w:val="00C704CC"/>
    <w:rsid w:val="00C70C54"/>
    <w:rsid w:val="00C70EF5"/>
    <w:rsid w:val="00C71A1B"/>
    <w:rsid w:val="00C72870"/>
    <w:rsid w:val="00C7324D"/>
    <w:rsid w:val="00C733C5"/>
    <w:rsid w:val="00C734E7"/>
    <w:rsid w:val="00C73517"/>
    <w:rsid w:val="00C743A7"/>
    <w:rsid w:val="00C75744"/>
    <w:rsid w:val="00C76162"/>
    <w:rsid w:val="00C77C27"/>
    <w:rsid w:val="00C833B5"/>
    <w:rsid w:val="00C84273"/>
    <w:rsid w:val="00C8443B"/>
    <w:rsid w:val="00C84C4F"/>
    <w:rsid w:val="00C85E69"/>
    <w:rsid w:val="00C860DB"/>
    <w:rsid w:val="00C86D82"/>
    <w:rsid w:val="00C912AB"/>
    <w:rsid w:val="00C92FE2"/>
    <w:rsid w:val="00C94609"/>
    <w:rsid w:val="00CA0BD3"/>
    <w:rsid w:val="00CA1945"/>
    <w:rsid w:val="00CA2092"/>
    <w:rsid w:val="00CA31CE"/>
    <w:rsid w:val="00CA33A6"/>
    <w:rsid w:val="00CA79D6"/>
    <w:rsid w:val="00CB1A63"/>
    <w:rsid w:val="00CB343F"/>
    <w:rsid w:val="00CB349D"/>
    <w:rsid w:val="00CB3CDC"/>
    <w:rsid w:val="00CB4070"/>
    <w:rsid w:val="00CB4B1E"/>
    <w:rsid w:val="00CB6002"/>
    <w:rsid w:val="00CB6AE1"/>
    <w:rsid w:val="00CB6D12"/>
    <w:rsid w:val="00CB73F1"/>
    <w:rsid w:val="00CB759F"/>
    <w:rsid w:val="00CC0186"/>
    <w:rsid w:val="00CC043A"/>
    <w:rsid w:val="00CC08EE"/>
    <w:rsid w:val="00CC0D5B"/>
    <w:rsid w:val="00CC13F1"/>
    <w:rsid w:val="00CC1C3B"/>
    <w:rsid w:val="00CC1E15"/>
    <w:rsid w:val="00CC2F45"/>
    <w:rsid w:val="00CC3C39"/>
    <w:rsid w:val="00CC614C"/>
    <w:rsid w:val="00CC7BBB"/>
    <w:rsid w:val="00CD2521"/>
    <w:rsid w:val="00CD3777"/>
    <w:rsid w:val="00CD409C"/>
    <w:rsid w:val="00CD419D"/>
    <w:rsid w:val="00CD5351"/>
    <w:rsid w:val="00CD53EA"/>
    <w:rsid w:val="00CD5D59"/>
    <w:rsid w:val="00CD6E06"/>
    <w:rsid w:val="00CD719C"/>
    <w:rsid w:val="00CE0053"/>
    <w:rsid w:val="00CE1013"/>
    <w:rsid w:val="00CE37EC"/>
    <w:rsid w:val="00CE39BF"/>
    <w:rsid w:val="00CE617E"/>
    <w:rsid w:val="00CF0927"/>
    <w:rsid w:val="00CF19B4"/>
    <w:rsid w:val="00CF1BDE"/>
    <w:rsid w:val="00CF21A1"/>
    <w:rsid w:val="00CF323E"/>
    <w:rsid w:val="00CF495C"/>
    <w:rsid w:val="00CF558C"/>
    <w:rsid w:val="00CF6860"/>
    <w:rsid w:val="00CF7780"/>
    <w:rsid w:val="00D017C3"/>
    <w:rsid w:val="00D026FC"/>
    <w:rsid w:val="00D02D7F"/>
    <w:rsid w:val="00D033E5"/>
    <w:rsid w:val="00D0423A"/>
    <w:rsid w:val="00D045F0"/>
    <w:rsid w:val="00D0616D"/>
    <w:rsid w:val="00D061DC"/>
    <w:rsid w:val="00D0631A"/>
    <w:rsid w:val="00D06F39"/>
    <w:rsid w:val="00D06F9E"/>
    <w:rsid w:val="00D10705"/>
    <w:rsid w:val="00D132CC"/>
    <w:rsid w:val="00D15520"/>
    <w:rsid w:val="00D159C3"/>
    <w:rsid w:val="00D16C21"/>
    <w:rsid w:val="00D16DCF"/>
    <w:rsid w:val="00D22278"/>
    <w:rsid w:val="00D236B1"/>
    <w:rsid w:val="00D24134"/>
    <w:rsid w:val="00D242D6"/>
    <w:rsid w:val="00D24610"/>
    <w:rsid w:val="00D2597B"/>
    <w:rsid w:val="00D25C2E"/>
    <w:rsid w:val="00D26853"/>
    <w:rsid w:val="00D271EB"/>
    <w:rsid w:val="00D27739"/>
    <w:rsid w:val="00D27CBF"/>
    <w:rsid w:val="00D30019"/>
    <w:rsid w:val="00D31AA5"/>
    <w:rsid w:val="00D31E3E"/>
    <w:rsid w:val="00D326EA"/>
    <w:rsid w:val="00D3329F"/>
    <w:rsid w:val="00D3527B"/>
    <w:rsid w:val="00D35F18"/>
    <w:rsid w:val="00D3630C"/>
    <w:rsid w:val="00D36AE0"/>
    <w:rsid w:val="00D37650"/>
    <w:rsid w:val="00D37FB1"/>
    <w:rsid w:val="00D401D5"/>
    <w:rsid w:val="00D40446"/>
    <w:rsid w:val="00D408AE"/>
    <w:rsid w:val="00D4163F"/>
    <w:rsid w:val="00D41648"/>
    <w:rsid w:val="00D41BB7"/>
    <w:rsid w:val="00D43148"/>
    <w:rsid w:val="00D4413B"/>
    <w:rsid w:val="00D44562"/>
    <w:rsid w:val="00D45D4E"/>
    <w:rsid w:val="00D468CB"/>
    <w:rsid w:val="00D47166"/>
    <w:rsid w:val="00D472EF"/>
    <w:rsid w:val="00D509D1"/>
    <w:rsid w:val="00D50AFC"/>
    <w:rsid w:val="00D526D9"/>
    <w:rsid w:val="00D55A15"/>
    <w:rsid w:val="00D5729E"/>
    <w:rsid w:val="00D5737F"/>
    <w:rsid w:val="00D5742A"/>
    <w:rsid w:val="00D576AC"/>
    <w:rsid w:val="00D60F41"/>
    <w:rsid w:val="00D6236A"/>
    <w:rsid w:val="00D63254"/>
    <w:rsid w:val="00D635FC"/>
    <w:rsid w:val="00D64FC7"/>
    <w:rsid w:val="00D676FF"/>
    <w:rsid w:val="00D7068A"/>
    <w:rsid w:val="00D730B1"/>
    <w:rsid w:val="00D735A8"/>
    <w:rsid w:val="00D735C1"/>
    <w:rsid w:val="00D7475B"/>
    <w:rsid w:val="00D757B0"/>
    <w:rsid w:val="00D75B97"/>
    <w:rsid w:val="00D765C6"/>
    <w:rsid w:val="00D778A9"/>
    <w:rsid w:val="00D77951"/>
    <w:rsid w:val="00D801DF"/>
    <w:rsid w:val="00D804AF"/>
    <w:rsid w:val="00D8053D"/>
    <w:rsid w:val="00D8226E"/>
    <w:rsid w:val="00D82639"/>
    <w:rsid w:val="00D826B9"/>
    <w:rsid w:val="00D83A7E"/>
    <w:rsid w:val="00D8550B"/>
    <w:rsid w:val="00D860B3"/>
    <w:rsid w:val="00D86116"/>
    <w:rsid w:val="00D90DD1"/>
    <w:rsid w:val="00D91602"/>
    <w:rsid w:val="00D922E6"/>
    <w:rsid w:val="00D92609"/>
    <w:rsid w:val="00D94EF9"/>
    <w:rsid w:val="00D95C32"/>
    <w:rsid w:val="00D965DC"/>
    <w:rsid w:val="00DA08E0"/>
    <w:rsid w:val="00DA14FD"/>
    <w:rsid w:val="00DA222B"/>
    <w:rsid w:val="00DA3B64"/>
    <w:rsid w:val="00DA4DAD"/>
    <w:rsid w:val="00DA5768"/>
    <w:rsid w:val="00DA7694"/>
    <w:rsid w:val="00DA79F2"/>
    <w:rsid w:val="00DA7C07"/>
    <w:rsid w:val="00DB07D8"/>
    <w:rsid w:val="00DB0B3D"/>
    <w:rsid w:val="00DB0EDF"/>
    <w:rsid w:val="00DB224F"/>
    <w:rsid w:val="00DB3DFF"/>
    <w:rsid w:val="00DB45A2"/>
    <w:rsid w:val="00DB480E"/>
    <w:rsid w:val="00DB5FB6"/>
    <w:rsid w:val="00DB62C6"/>
    <w:rsid w:val="00DB6A2E"/>
    <w:rsid w:val="00DB7680"/>
    <w:rsid w:val="00DC2911"/>
    <w:rsid w:val="00DC343A"/>
    <w:rsid w:val="00DC3D05"/>
    <w:rsid w:val="00DC4023"/>
    <w:rsid w:val="00DC40B4"/>
    <w:rsid w:val="00DC451A"/>
    <w:rsid w:val="00DC5B5B"/>
    <w:rsid w:val="00DC6DF2"/>
    <w:rsid w:val="00DD1625"/>
    <w:rsid w:val="00DD177B"/>
    <w:rsid w:val="00DD1D66"/>
    <w:rsid w:val="00DD2410"/>
    <w:rsid w:val="00DD2CCE"/>
    <w:rsid w:val="00DD398F"/>
    <w:rsid w:val="00DD4228"/>
    <w:rsid w:val="00DD563D"/>
    <w:rsid w:val="00DD61DD"/>
    <w:rsid w:val="00DD79BC"/>
    <w:rsid w:val="00DE0AC7"/>
    <w:rsid w:val="00DE1E54"/>
    <w:rsid w:val="00DE26C5"/>
    <w:rsid w:val="00DE40E1"/>
    <w:rsid w:val="00DE5AE5"/>
    <w:rsid w:val="00DE5DC8"/>
    <w:rsid w:val="00DE6E9E"/>
    <w:rsid w:val="00DE7871"/>
    <w:rsid w:val="00DE7FC7"/>
    <w:rsid w:val="00DF05AD"/>
    <w:rsid w:val="00DF13D7"/>
    <w:rsid w:val="00DF1E3F"/>
    <w:rsid w:val="00DF2412"/>
    <w:rsid w:val="00DF2950"/>
    <w:rsid w:val="00DF3533"/>
    <w:rsid w:val="00DF360E"/>
    <w:rsid w:val="00DF4E62"/>
    <w:rsid w:val="00DF5068"/>
    <w:rsid w:val="00DF52BC"/>
    <w:rsid w:val="00DF5B10"/>
    <w:rsid w:val="00DF626B"/>
    <w:rsid w:val="00DF7690"/>
    <w:rsid w:val="00E016CA"/>
    <w:rsid w:val="00E047C2"/>
    <w:rsid w:val="00E04C65"/>
    <w:rsid w:val="00E0716D"/>
    <w:rsid w:val="00E078B0"/>
    <w:rsid w:val="00E07FE5"/>
    <w:rsid w:val="00E10139"/>
    <w:rsid w:val="00E1081D"/>
    <w:rsid w:val="00E10CB1"/>
    <w:rsid w:val="00E110F6"/>
    <w:rsid w:val="00E11391"/>
    <w:rsid w:val="00E11B16"/>
    <w:rsid w:val="00E11F76"/>
    <w:rsid w:val="00E1363C"/>
    <w:rsid w:val="00E13812"/>
    <w:rsid w:val="00E14778"/>
    <w:rsid w:val="00E15D3A"/>
    <w:rsid w:val="00E1791D"/>
    <w:rsid w:val="00E20E02"/>
    <w:rsid w:val="00E20EDD"/>
    <w:rsid w:val="00E22DD8"/>
    <w:rsid w:val="00E22F7E"/>
    <w:rsid w:val="00E23B55"/>
    <w:rsid w:val="00E24E6D"/>
    <w:rsid w:val="00E258CF"/>
    <w:rsid w:val="00E261C1"/>
    <w:rsid w:val="00E26699"/>
    <w:rsid w:val="00E26EF4"/>
    <w:rsid w:val="00E30D3B"/>
    <w:rsid w:val="00E32461"/>
    <w:rsid w:val="00E3291E"/>
    <w:rsid w:val="00E3417A"/>
    <w:rsid w:val="00E35810"/>
    <w:rsid w:val="00E37180"/>
    <w:rsid w:val="00E41021"/>
    <w:rsid w:val="00E4103C"/>
    <w:rsid w:val="00E42636"/>
    <w:rsid w:val="00E42A4B"/>
    <w:rsid w:val="00E43520"/>
    <w:rsid w:val="00E43A9B"/>
    <w:rsid w:val="00E44032"/>
    <w:rsid w:val="00E44472"/>
    <w:rsid w:val="00E4490A"/>
    <w:rsid w:val="00E45181"/>
    <w:rsid w:val="00E45A54"/>
    <w:rsid w:val="00E4686F"/>
    <w:rsid w:val="00E50698"/>
    <w:rsid w:val="00E5339D"/>
    <w:rsid w:val="00E53426"/>
    <w:rsid w:val="00E535B5"/>
    <w:rsid w:val="00E547E9"/>
    <w:rsid w:val="00E551FF"/>
    <w:rsid w:val="00E56FBF"/>
    <w:rsid w:val="00E57B53"/>
    <w:rsid w:val="00E57F44"/>
    <w:rsid w:val="00E601D9"/>
    <w:rsid w:val="00E61BC3"/>
    <w:rsid w:val="00E61C7A"/>
    <w:rsid w:val="00E6546F"/>
    <w:rsid w:val="00E660EE"/>
    <w:rsid w:val="00E73BE4"/>
    <w:rsid w:val="00E75466"/>
    <w:rsid w:val="00E75A1D"/>
    <w:rsid w:val="00E774B0"/>
    <w:rsid w:val="00E77FE6"/>
    <w:rsid w:val="00E80477"/>
    <w:rsid w:val="00E80BED"/>
    <w:rsid w:val="00E825C9"/>
    <w:rsid w:val="00E82F93"/>
    <w:rsid w:val="00E83063"/>
    <w:rsid w:val="00E83984"/>
    <w:rsid w:val="00E83AE8"/>
    <w:rsid w:val="00E8573D"/>
    <w:rsid w:val="00E864E1"/>
    <w:rsid w:val="00E86A92"/>
    <w:rsid w:val="00E902CF"/>
    <w:rsid w:val="00E91554"/>
    <w:rsid w:val="00E9231B"/>
    <w:rsid w:val="00E9514F"/>
    <w:rsid w:val="00E95159"/>
    <w:rsid w:val="00E951B3"/>
    <w:rsid w:val="00E95228"/>
    <w:rsid w:val="00E96DBD"/>
    <w:rsid w:val="00E971A9"/>
    <w:rsid w:val="00EA02BE"/>
    <w:rsid w:val="00EA1317"/>
    <w:rsid w:val="00EA1D84"/>
    <w:rsid w:val="00EA25E6"/>
    <w:rsid w:val="00EA2F99"/>
    <w:rsid w:val="00EA5934"/>
    <w:rsid w:val="00EA7BEA"/>
    <w:rsid w:val="00EB055B"/>
    <w:rsid w:val="00EB2983"/>
    <w:rsid w:val="00EB311B"/>
    <w:rsid w:val="00EB37AC"/>
    <w:rsid w:val="00EB3D63"/>
    <w:rsid w:val="00EB3F69"/>
    <w:rsid w:val="00EB40D5"/>
    <w:rsid w:val="00EB4A8B"/>
    <w:rsid w:val="00EB6FFC"/>
    <w:rsid w:val="00EC191B"/>
    <w:rsid w:val="00EC231F"/>
    <w:rsid w:val="00EC4501"/>
    <w:rsid w:val="00EC7CF9"/>
    <w:rsid w:val="00ED1739"/>
    <w:rsid w:val="00ED1AA2"/>
    <w:rsid w:val="00ED1EEE"/>
    <w:rsid w:val="00ED21D7"/>
    <w:rsid w:val="00ED50F9"/>
    <w:rsid w:val="00ED5F69"/>
    <w:rsid w:val="00ED5FAA"/>
    <w:rsid w:val="00ED65BA"/>
    <w:rsid w:val="00ED6F46"/>
    <w:rsid w:val="00ED752F"/>
    <w:rsid w:val="00EE057B"/>
    <w:rsid w:val="00EE0649"/>
    <w:rsid w:val="00EE0BC4"/>
    <w:rsid w:val="00EE1009"/>
    <w:rsid w:val="00EE119D"/>
    <w:rsid w:val="00EE170F"/>
    <w:rsid w:val="00EE1FC6"/>
    <w:rsid w:val="00EE2362"/>
    <w:rsid w:val="00EE2A75"/>
    <w:rsid w:val="00EE321F"/>
    <w:rsid w:val="00EE33FD"/>
    <w:rsid w:val="00EE40F5"/>
    <w:rsid w:val="00EE4CA6"/>
    <w:rsid w:val="00EF0397"/>
    <w:rsid w:val="00EF083B"/>
    <w:rsid w:val="00EF2899"/>
    <w:rsid w:val="00EF373F"/>
    <w:rsid w:val="00EF37D2"/>
    <w:rsid w:val="00EF39DF"/>
    <w:rsid w:val="00EF3FB9"/>
    <w:rsid w:val="00EF4CF8"/>
    <w:rsid w:val="00EF50D4"/>
    <w:rsid w:val="00EF7702"/>
    <w:rsid w:val="00EF7C0A"/>
    <w:rsid w:val="00F0086C"/>
    <w:rsid w:val="00F02153"/>
    <w:rsid w:val="00F028D2"/>
    <w:rsid w:val="00F040E6"/>
    <w:rsid w:val="00F04AFA"/>
    <w:rsid w:val="00F04D52"/>
    <w:rsid w:val="00F050B0"/>
    <w:rsid w:val="00F05B69"/>
    <w:rsid w:val="00F05D62"/>
    <w:rsid w:val="00F07AA3"/>
    <w:rsid w:val="00F1200F"/>
    <w:rsid w:val="00F12145"/>
    <w:rsid w:val="00F1256D"/>
    <w:rsid w:val="00F12AAC"/>
    <w:rsid w:val="00F13F3F"/>
    <w:rsid w:val="00F1440F"/>
    <w:rsid w:val="00F1514C"/>
    <w:rsid w:val="00F167BE"/>
    <w:rsid w:val="00F17416"/>
    <w:rsid w:val="00F2164F"/>
    <w:rsid w:val="00F23029"/>
    <w:rsid w:val="00F269CA"/>
    <w:rsid w:val="00F27896"/>
    <w:rsid w:val="00F27C76"/>
    <w:rsid w:val="00F30B4D"/>
    <w:rsid w:val="00F32DC5"/>
    <w:rsid w:val="00F33C8F"/>
    <w:rsid w:val="00F33DA9"/>
    <w:rsid w:val="00F35282"/>
    <w:rsid w:val="00F35A13"/>
    <w:rsid w:val="00F360DE"/>
    <w:rsid w:val="00F40182"/>
    <w:rsid w:val="00F40A36"/>
    <w:rsid w:val="00F40CA9"/>
    <w:rsid w:val="00F40FEF"/>
    <w:rsid w:val="00F41342"/>
    <w:rsid w:val="00F414B8"/>
    <w:rsid w:val="00F430DD"/>
    <w:rsid w:val="00F43773"/>
    <w:rsid w:val="00F4395E"/>
    <w:rsid w:val="00F44FC0"/>
    <w:rsid w:val="00F464C1"/>
    <w:rsid w:val="00F46EA5"/>
    <w:rsid w:val="00F4700B"/>
    <w:rsid w:val="00F4706C"/>
    <w:rsid w:val="00F479EC"/>
    <w:rsid w:val="00F51DAF"/>
    <w:rsid w:val="00F5436D"/>
    <w:rsid w:val="00F549F0"/>
    <w:rsid w:val="00F54F16"/>
    <w:rsid w:val="00F5661E"/>
    <w:rsid w:val="00F57537"/>
    <w:rsid w:val="00F611D1"/>
    <w:rsid w:val="00F61BE8"/>
    <w:rsid w:val="00F645C7"/>
    <w:rsid w:val="00F65294"/>
    <w:rsid w:val="00F65AA3"/>
    <w:rsid w:val="00F7026B"/>
    <w:rsid w:val="00F7108D"/>
    <w:rsid w:val="00F715A4"/>
    <w:rsid w:val="00F71A38"/>
    <w:rsid w:val="00F71AEE"/>
    <w:rsid w:val="00F71FC0"/>
    <w:rsid w:val="00F73110"/>
    <w:rsid w:val="00F733FF"/>
    <w:rsid w:val="00F73CCE"/>
    <w:rsid w:val="00F75640"/>
    <w:rsid w:val="00F77424"/>
    <w:rsid w:val="00F80553"/>
    <w:rsid w:val="00F805FF"/>
    <w:rsid w:val="00F80944"/>
    <w:rsid w:val="00F80A4A"/>
    <w:rsid w:val="00F81154"/>
    <w:rsid w:val="00F82A46"/>
    <w:rsid w:val="00F83E9C"/>
    <w:rsid w:val="00F86D93"/>
    <w:rsid w:val="00F878C8"/>
    <w:rsid w:val="00F87C73"/>
    <w:rsid w:val="00F9034D"/>
    <w:rsid w:val="00F9048E"/>
    <w:rsid w:val="00F904A2"/>
    <w:rsid w:val="00F90896"/>
    <w:rsid w:val="00F90C5C"/>
    <w:rsid w:val="00F9421B"/>
    <w:rsid w:val="00F9546D"/>
    <w:rsid w:val="00F967A7"/>
    <w:rsid w:val="00FA0A01"/>
    <w:rsid w:val="00FA3014"/>
    <w:rsid w:val="00FA4CC9"/>
    <w:rsid w:val="00FA58C9"/>
    <w:rsid w:val="00FA6495"/>
    <w:rsid w:val="00FA6499"/>
    <w:rsid w:val="00FA6C13"/>
    <w:rsid w:val="00FA6C97"/>
    <w:rsid w:val="00FA79E3"/>
    <w:rsid w:val="00FA7E2E"/>
    <w:rsid w:val="00FB09FD"/>
    <w:rsid w:val="00FB2127"/>
    <w:rsid w:val="00FB2888"/>
    <w:rsid w:val="00FB45A7"/>
    <w:rsid w:val="00FB4C98"/>
    <w:rsid w:val="00FB60C9"/>
    <w:rsid w:val="00FB638C"/>
    <w:rsid w:val="00FB72F2"/>
    <w:rsid w:val="00FC11AE"/>
    <w:rsid w:val="00FC237E"/>
    <w:rsid w:val="00FC38CC"/>
    <w:rsid w:val="00FC5018"/>
    <w:rsid w:val="00FC54A8"/>
    <w:rsid w:val="00FC5FB4"/>
    <w:rsid w:val="00FC736B"/>
    <w:rsid w:val="00FD0D49"/>
    <w:rsid w:val="00FD2163"/>
    <w:rsid w:val="00FD3022"/>
    <w:rsid w:val="00FD47BF"/>
    <w:rsid w:val="00FD497B"/>
    <w:rsid w:val="00FD56B5"/>
    <w:rsid w:val="00FD590C"/>
    <w:rsid w:val="00FD5D18"/>
    <w:rsid w:val="00FD7D4D"/>
    <w:rsid w:val="00FD7FA4"/>
    <w:rsid w:val="00FE1C24"/>
    <w:rsid w:val="00FE3453"/>
    <w:rsid w:val="00FE484B"/>
    <w:rsid w:val="00FE4B63"/>
    <w:rsid w:val="00FE5EA9"/>
    <w:rsid w:val="00FE64AB"/>
    <w:rsid w:val="00FE7AB8"/>
    <w:rsid w:val="00FF0172"/>
    <w:rsid w:val="00FF184C"/>
    <w:rsid w:val="00FF258C"/>
    <w:rsid w:val="00FF3DF0"/>
    <w:rsid w:val="00FF4B55"/>
    <w:rsid w:val="00FF5CEA"/>
    <w:rsid w:val="00FF5DAE"/>
    <w:rsid w:val="00FF60D4"/>
    <w:rsid w:val="00FF6460"/>
    <w:rsid w:val="00FF6858"/>
    <w:rsid w:val="00FF6D44"/>
    <w:rsid w:val="00FF7AC3"/>
    <w:rsid w:val="16C64D95"/>
    <w:rsid w:val="22D13BF8"/>
    <w:rsid w:val="7766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link w:val="34"/>
    <w:autoRedefine/>
    <w:qFormat/>
    <w:uiPriority w:val="0"/>
    <w:pPr>
      <w:keepNext/>
      <w:keepLines/>
      <w:spacing w:before="120" w:after="120"/>
      <w:ind w:firstLine="0" w:firstLineChars="0"/>
      <w:jc w:val="center"/>
      <w:outlineLvl w:val="0"/>
    </w:pPr>
    <w:rPr>
      <w:b/>
      <w:bCs/>
      <w:kern w:val="44"/>
      <w:sz w:val="32"/>
      <w:szCs w:val="44"/>
    </w:rPr>
  </w:style>
  <w:style w:type="paragraph" w:styleId="3">
    <w:name w:val="heading 2"/>
    <w:basedOn w:val="1"/>
    <w:next w:val="1"/>
    <w:link w:val="42"/>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3"/>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6"/>
    <w:autoRedefine/>
    <w:semiHidden/>
    <w:unhideWhenUsed/>
    <w:qFormat/>
    <w:uiPriority w:val="0"/>
    <w:pPr>
      <w:keepNext/>
      <w:keepLines/>
      <w:spacing w:before="280" w:after="290" w:line="376" w:lineRule="auto"/>
      <w:outlineLvl w:val="4"/>
    </w:pPr>
    <w:rPr>
      <w:b/>
      <w:bCs/>
      <w:szCs w:val="28"/>
    </w:rPr>
  </w:style>
  <w:style w:type="character" w:default="1" w:styleId="28">
    <w:name w:val="Default Paragraph Font"/>
    <w:autoRedefine/>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8">
    <w:name w:val="annotation text"/>
    <w:basedOn w:val="1"/>
    <w:link w:val="76"/>
    <w:qFormat/>
    <w:uiPriority w:val="0"/>
    <w:pPr>
      <w:jc w:val="left"/>
    </w:pPr>
  </w:style>
  <w:style w:type="paragraph" w:styleId="9">
    <w:name w:val="Body Text"/>
    <w:basedOn w:val="1"/>
    <w:link w:val="59"/>
    <w:uiPriority w:val="1"/>
    <w:pPr>
      <w:autoSpaceDE w:val="0"/>
      <w:autoSpaceDN w:val="0"/>
      <w:spacing w:line="240" w:lineRule="auto"/>
      <w:ind w:firstLine="0" w:firstLineChars="0"/>
      <w:jc w:val="left"/>
    </w:pPr>
    <w:rPr>
      <w:rFonts w:ascii="宋体" w:hAnsi="宋体" w:eastAsia="宋体" w:cs="宋体"/>
      <w:kern w:val="0"/>
      <w:szCs w:val="28"/>
      <w:lang w:eastAsia="en-US"/>
    </w:rPr>
  </w:style>
  <w:style w:type="paragraph" w:styleId="10">
    <w:name w:val="toc 5"/>
    <w:basedOn w:val="1"/>
    <w:next w:val="1"/>
    <w:unhideWhenUsed/>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11">
    <w:name w:val="toc 3"/>
    <w:basedOn w:val="1"/>
    <w:next w:val="1"/>
    <w:unhideWhenUsed/>
    <w:uiPriority w:val="39"/>
    <w:pPr>
      <w:spacing w:line="240" w:lineRule="auto"/>
      <w:ind w:left="400" w:leftChars="400" w:firstLine="0" w:firstLineChars="0"/>
      <w:outlineLvl w:val="2"/>
    </w:pPr>
    <w:rPr>
      <w:rFonts w:asciiTheme="minorHAnsi" w:hAnsiTheme="minorHAnsi" w:eastAsiaTheme="minorEastAsia" w:cstheme="minorBidi"/>
      <w:sz w:val="21"/>
      <w:szCs w:val="22"/>
    </w:rPr>
  </w:style>
  <w:style w:type="paragraph" w:styleId="12">
    <w:name w:val="Plain Text"/>
    <w:basedOn w:val="1"/>
    <w:link w:val="46"/>
    <w:uiPriority w:val="0"/>
    <w:pPr>
      <w:spacing w:line="240" w:lineRule="auto"/>
      <w:ind w:firstLine="0" w:firstLineChars="0"/>
    </w:pPr>
    <w:rPr>
      <w:rFonts w:ascii="宋体" w:hAnsi="Courier New" w:eastAsia="宋体"/>
      <w:sz w:val="21"/>
      <w:szCs w:val="20"/>
    </w:rPr>
  </w:style>
  <w:style w:type="paragraph" w:styleId="13">
    <w:name w:val="toc 8"/>
    <w:basedOn w:val="1"/>
    <w:next w:val="1"/>
    <w:unhideWhenUsed/>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14">
    <w:name w:val="Date"/>
    <w:basedOn w:val="1"/>
    <w:next w:val="1"/>
    <w:link w:val="43"/>
    <w:uiPriority w:val="0"/>
    <w:pPr>
      <w:ind w:left="100" w:leftChars="2500"/>
    </w:pPr>
  </w:style>
  <w:style w:type="paragraph" w:styleId="15">
    <w:name w:val="Balloon Text"/>
    <w:basedOn w:val="1"/>
    <w:link w:val="71"/>
    <w:semiHidden/>
    <w:unhideWhenUsed/>
    <w:qFormat/>
    <w:uiPriority w:val="0"/>
    <w:pPr>
      <w:spacing w:line="240" w:lineRule="auto"/>
    </w:pPr>
    <w:rPr>
      <w:sz w:val="18"/>
      <w:szCs w:val="18"/>
    </w:rPr>
  </w:style>
  <w:style w:type="paragraph" w:styleId="16">
    <w:name w:val="footer"/>
    <w:basedOn w:val="1"/>
    <w:link w:val="45"/>
    <w:autoRedefine/>
    <w:qFormat/>
    <w:uiPriority w:val="99"/>
    <w:pPr>
      <w:tabs>
        <w:tab w:val="center" w:pos="4153"/>
        <w:tab w:val="right" w:pos="8306"/>
      </w:tabs>
      <w:snapToGrid w:val="0"/>
      <w:spacing w:line="240" w:lineRule="auto"/>
      <w:jc w:val="left"/>
    </w:pPr>
    <w:rPr>
      <w:sz w:val="18"/>
      <w:szCs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2"/>
    <w:next w:val="1"/>
    <w:autoRedefine/>
    <w:qFormat/>
    <w:uiPriority w:val="39"/>
    <w:pPr>
      <w:keepNext w:val="0"/>
      <w:keepLines w:val="0"/>
      <w:tabs>
        <w:tab w:val="right" w:leader="dot" w:pos="8296"/>
      </w:tabs>
      <w:spacing w:before="0" w:after="0"/>
      <w:jc w:val="left"/>
      <w:outlineLvl w:val="9"/>
    </w:pPr>
    <w:rPr>
      <w:sz w:val="28"/>
    </w:rPr>
  </w:style>
  <w:style w:type="paragraph" w:styleId="19">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20">
    <w:name w:val="toc 6"/>
    <w:basedOn w:val="1"/>
    <w:next w:val="1"/>
    <w:unhideWhenUsed/>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21">
    <w:name w:val="toc 2"/>
    <w:basedOn w:val="2"/>
    <w:next w:val="1"/>
    <w:qFormat/>
    <w:uiPriority w:val="39"/>
    <w:pPr>
      <w:keepNext w:val="0"/>
      <w:keepLines w:val="0"/>
      <w:tabs>
        <w:tab w:val="right" w:leader="dot" w:pos="8296"/>
      </w:tabs>
      <w:spacing w:before="0" w:after="0"/>
      <w:ind w:firstLine="480" w:firstLineChars="200"/>
      <w:jc w:val="left"/>
      <w:outlineLvl w:val="9"/>
    </w:pPr>
    <w:rPr>
      <w:b w:val="0"/>
      <w:sz w:val="28"/>
    </w:rPr>
  </w:style>
  <w:style w:type="paragraph" w:styleId="22">
    <w:name w:val="toc 9"/>
    <w:basedOn w:val="1"/>
    <w:next w:val="1"/>
    <w:unhideWhenUsed/>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23">
    <w:name w:val="Normal (Web)"/>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4"/>
    </w:rPr>
  </w:style>
  <w:style w:type="paragraph" w:styleId="24">
    <w:name w:val="Title"/>
    <w:basedOn w:val="1"/>
    <w:next w:val="1"/>
    <w:link w:val="36"/>
    <w:qFormat/>
    <w:uiPriority w:val="0"/>
    <w:pPr>
      <w:spacing w:before="120" w:after="120"/>
      <w:ind w:firstLine="0" w:firstLineChars="0"/>
      <w:jc w:val="center"/>
      <w:outlineLvl w:val="0"/>
    </w:pPr>
    <w:rPr>
      <w:rFonts w:cstheme="majorBidi"/>
      <w:b/>
      <w:bCs/>
      <w:sz w:val="44"/>
      <w:szCs w:val="32"/>
    </w:rPr>
  </w:style>
  <w:style w:type="paragraph" w:styleId="25">
    <w:name w:val="annotation subject"/>
    <w:basedOn w:val="8"/>
    <w:next w:val="8"/>
    <w:link w:val="77"/>
    <w:autoRedefine/>
    <w:uiPriority w:val="0"/>
    <w:rPr>
      <w:b/>
      <w:bCs/>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autoRedefine/>
    <w:unhideWhenUsed/>
    <w:qFormat/>
    <w:uiPriority w:val="99"/>
    <w:rPr>
      <w:color w:val="0563C1" w:themeColor="hyperlink"/>
      <w:u w:val="single"/>
      <w14:textFill>
        <w14:solidFill>
          <w14:schemeClr w14:val="hlink"/>
        </w14:solidFill>
      </w14:textFill>
    </w:rPr>
  </w:style>
  <w:style w:type="character" w:styleId="30">
    <w:name w:val="annotation reference"/>
    <w:basedOn w:val="28"/>
    <w:qFormat/>
    <w:uiPriority w:val="0"/>
    <w:rPr>
      <w:sz w:val="21"/>
      <w:szCs w:val="21"/>
    </w:rPr>
  </w:style>
  <w:style w:type="paragraph" w:customStyle="1" w:styleId="31">
    <w:name w:val="表格1"/>
    <w:link w:val="33"/>
    <w:autoRedefine/>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32">
    <w:name w:val="表格2"/>
    <w:basedOn w:val="31"/>
    <w:link w:val="35"/>
    <w:qFormat/>
    <w:uiPriority w:val="0"/>
    <w:rPr>
      <w:sz w:val="21"/>
    </w:rPr>
  </w:style>
  <w:style w:type="character" w:customStyle="1" w:styleId="33">
    <w:name w:val="表格1 字符"/>
    <w:basedOn w:val="28"/>
    <w:link w:val="31"/>
    <w:autoRedefine/>
    <w:qFormat/>
    <w:uiPriority w:val="0"/>
    <w:rPr>
      <w:rFonts w:eastAsia="仿宋_GB2312"/>
      <w:kern w:val="2"/>
      <w:sz w:val="24"/>
      <w:szCs w:val="24"/>
    </w:rPr>
  </w:style>
  <w:style w:type="character" w:customStyle="1" w:styleId="34">
    <w:name w:val="标题 1 字符"/>
    <w:basedOn w:val="28"/>
    <w:link w:val="2"/>
    <w:autoRedefine/>
    <w:qFormat/>
    <w:uiPriority w:val="0"/>
    <w:rPr>
      <w:rFonts w:eastAsia="仿宋_GB2312"/>
      <w:b/>
      <w:bCs/>
      <w:kern w:val="44"/>
      <w:sz w:val="32"/>
      <w:szCs w:val="44"/>
    </w:rPr>
  </w:style>
  <w:style w:type="character" w:customStyle="1" w:styleId="35">
    <w:name w:val="表格2 字符"/>
    <w:basedOn w:val="33"/>
    <w:link w:val="32"/>
    <w:qFormat/>
    <w:uiPriority w:val="0"/>
    <w:rPr>
      <w:rFonts w:eastAsia="仿宋"/>
      <w:kern w:val="2"/>
      <w:sz w:val="21"/>
      <w:szCs w:val="24"/>
    </w:rPr>
  </w:style>
  <w:style w:type="character" w:customStyle="1" w:styleId="36">
    <w:name w:val="标题 字符"/>
    <w:basedOn w:val="28"/>
    <w:link w:val="24"/>
    <w:autoRedefine/>
    <w:qFormat/>
    <w:uiPriority w:val="0"/>
    <w:rPr>
      <w:rFonts w:eastAsia="仿宋" w:cstheme="majorBidi"/>
      <w:b/>
      <w:bCs/>
      <w:kern w:val="2"/>
      <w:sz w:val="44"/>
      <w:szCs w:val="32"/>
    </w:rPr>
  </w:style>
  <w:style w:type="paragraph" w:customStyle="1" w:styleId="37">
    <w:name w:val="标题2"/>
    <w:basedOn w:val="2"/>
    <w:next w:val="1"/>
    <w:link w:val="39"/>
    <w:autoRedefine/>
    <w:qFormat/>
    <w:uiPriority w:val="0"/>
    <w:pPr>
      <w:widowControl/>
      <w:spacing w:beforeLines="50" w:afterLines="50"/>
      <w:jc w:val="left"/>
      <w:outlineLvl w:val="1"/>
    </w:pPr>
    <w:rPr>
      <w:sz w:val="30"/>
    </w:rPr>
  </w:style>
  <w:style w:type="paragraph" w:customStyle="1" w:styleId="38">
    <w:name w:val="标题3"/>
    <w:basedOn w:val="3"/>
    <w:next w:val="1"/>
    <w:link w:val="41"/>
    <w:qFormat/>
    <w:uiPriority w:val="0"/>
    <w:pPr>
      <w:spacing w:before="50" w:beforeLines="50" w:after="50" w:afterLines="50" w:line="360" w:lineRule="auto"/>
      <w:jc w:val="left"/>
      <w:outlineLvl w:val="2"/>
    </w:pPr>
    <w:rPr>
      <w:rFonts w:ascii="Times New Roman" w:hAnsi="Times New Roman" w:eastAsia="仿宋_GB2312"/>
      <w:sz w:val="28"/>
    </w:rPr>
  </w:style>
  <w:style w:type="character" w:customStyle="1" w:styleId="39">
    <w:name w:val="标题2 字符"/>
    <w:basedOn w:val="28"/>
    <w:link w:val="37"/>
    <w:autoRedefine/>
    <w:qFormat/>
    <w:uiPriority w:val="0"/>
    <w:rPr>
      <w:rFonts w:eastAsia="仿宋_GB2312"/>
      <w:b/>
      <w:bCs/>
      <w:kern w:val="44"/>
      <w:sz w:val="30"/>
      <w:szCs w:val="44"/>
    </w:rPr>
  </w:style>
  <w:style w:type="paragraph" w:styleId="40">
    <w:name w:val="List Paragraph"/>
    <w:basedOn w:val="1"/>
    <w:autoRedefine/>
    <w:qFormat/>
    <w:uiPriority w:val="34"/>
    <w:pPr>
      <w:ind w:firstLine="0" w:firstLineChars="0"/>
    </w:pPr>
  </w:style>
  <w:style w:type="character" w:customStyle="1" w:styleId="41">
    <w:name w:val="标题3 字符"/>
    <w:basedOn w:val="39"/>
    <w:link w:val="38"/>
    <w:autoRedefine/>
    <w:qFormat/>
    <w:uiPriority w:val="0"/>
    <w:rPr>
      <w:rFonts w:eastAsia="仿宋_GB2312" w:cstheme="majorBidi"/>
      <w:kern w:val="2"/>
      <w:sz w:val="30"/>
      <w:szCs w:val="32"/>
    </w:rPr>
  </w:style>
  <w:style w:type="character" w:customStyle="1" w:styleId="42">
    <w:name w:val="标题 2 字符"/>
    <w:basedOn w:val="28"/>
    <w:link w:val="3"/>
    <w:autoRedefine/>
    <w:semiHidden/>
    <w:qFormat/>
    <w:uiPriority w:val="0"/>
    <w:rPr>
      <w:rFonts w:asciiTheme="majorHAnsi" w:hAnsiTheme="majorHAnsi" w:eastAsiaTheme="majorEastAsia" w:cstheme="majorBidi"/>
      <w:b/>
      <w:bCs/>
      <w:kern w:val="2"/>
      <w:sz w:val="32"/>
      <w:szCs w:val="32"/>
    </w:rPr>
  </w:style>
  <w:style w:type="character" w:customStyle="1" w:styleId="43">
    <w:name w:val="日期 字符"/>
    <w:basedOn w:val="28"/>
    <w:link w:val="14"/>
    <w:autoRedefine/>
    <w:qFormat/>
    <w:uiPriority w:val="0"/>
    <w:rPr>
      <w:rFonts w:eastAsia="仿宋"/>
      <w:kern w:val="2"/>
      <w:sz w:val="28"/>
      <w:szCs w:val="24"/>
    </w:rPr>
  </w:style>
  <w:style w:type="character" w:customStyle="1" w:styleId="44">
    <w:name w:val="页眉 字符"/>
    <w:basedOn w:val="28"/>
    <w:link w:val="17"/>
    <w:autoRedefine/>
    <w:qFormat/>
    <w:uiPriority w:val="99"/>
    <w:rPr>
      <w:rFonts w:eastAsia="仿宋"/>
      <w:kern w:val="2"/>
      <w:sz w:val="18"/>
      <w:szCs w:val="18"/>
    </w:rPr>
  </w:style>
  <w:style w:type="character" w:customStyle="1" w:styleId="45">
    <w:name w:val="页脚 字符"/>
    <w:basedOn w:val="28"/>
    <w:link w:val="16"/>
    <w:autoRedefine/>
    <w:qFormat/>
    <w:uiPriority w:val="99"/>
    <w:rPr>
      <w:rFonts w:eastAsia="仿宋"/>
      <w:kern w:val="2"/>
      <w:sz w:val="18"/>
      <w:szCs w:val="18"/>
    </w:rPr>
  </w:style>
  <w:style w:type="character" w:customStyle="1" w:styleId="46">
    <w:name w:val="纯文本 字符"/>
    <w:basedOn w:val="28"/>
    <w:link w:val="12"/>
    <w:autoRedefine/>
    <w:qFormat/>
    <w:uiPriority w:val="0"/>
    <w:rPr>
      <w:rFonts w:ascii="宋体" w:hAnsi="Courier New"/>
      <w:kern w:val="2"/>
      <w:sz w:val="21"/>
    </w:rPr>
  </w:style>
  <w:style w:type="character" w:customStyle="1" w:styleId="47">
    <w:name w:val="标题 3 字符"/>
    <w:basedOn w:val="28"/>
    <w:link w:val="4"/>
    <w:autoRedefine/>
    <w:semiHidden/>
    <w:qFormat/>
    <w:uiPriority w:val="0"/>
    <w:rPr>
      <w:rFonts w:eastAsia="仿宋"/>
      <w:b/>
      <w:bCs/>
      <w:kern w:val="2"/>
      <w:sz w:val="32"/>
      <w:szCs w:val="32"/>
    </w:rPr>
  </w:style>
  <w:style w:type="paragraph" w:customStyle="1" w:styleId="48">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49">
    <w:name w:val="未处理的提及1"/>
    <w:basedOn w:val="28"/>
    <w:autoRedefine/>
    <w:semiHidden/>
    <w:unhideWhenUsed/>
    <w:qFormat/>
    <w:uiPriority w:val="99"/>
    <w:rPr>
      <w:color w:val="605E5C"/>
      <w:shd w:val="clear" w:color="auto" w:fill="E1DFDD"/>
    </w:rPr>
  </w:style>
  <w:style w:type="character" w:customStyle="1" w:styleId="50">
    <w:name w:val="font01"/>
    <w:basedOn w:val="28"/>
    <w:autoRedefine/>
    <w:qFormat/>
    <w:uiPriority w:val="0"/>
    <w:rPr>
      <w:rFonts w:hint="default" w:ascii="Times New Roman" w:hAnsi="Times New Roman" w:cs="Times New Roman"/>
      <w:b/>
      <w:bCs/>
      <w:color w:val="000000"/>
      <w:sz w:val="21"/>
      <w:szCs w:val="21"/>
      <w:u w:val="none"/>
    </w:rPr>
  </w:style>
  <w:style w:type="character" w:customStyle="1" w:styleId="51">
    <w:name w:val="font31"/>
    <w:basedOn w:val="28"/>
    <w:autoRedefine/>
    <w:qFormat/>
    <w:uiPriority w:val="0"/>
    <w:rPr>
      <w:rFonts w:hint="eastAsia" w:ascii="宋体" w:hAnsi="宋体" w:eastAsia="宋体"/>
      <w:b/>
      <w:bCs/>
      <w:color w:val="000000"/>
      <w:sz w:val="21"/>
      <w:szCs w:val="21"/>
      <w:u w:val="none"/>
    </w:rPr>
  </w:style>
  <w:style w:type="character" w:customStyle="1" w:styleId="52">
    <w:name w:val="font11"/>
    <w:basedOn w:val="28"/>
    <w:autoRedefine/>
    <w:qFormat/>
    <w:uiPriority w:val="0"/>
    <w:rPr>
      <w:rFonts w:hint="default" w:ascii="Times New Roman" w:hAnsi="Times New Roman" w:cs="Times New Roman"/>
      <w:b/>
      <w:bCs/>
      <w:color w:val="000000"/>
      <w:sz w:val="21"/>
      <w:szCs w:val="21"/>
      <w:u w:val="none"/>
    </w:rPr>
  </w:style>
  <w:style w:type="character" w:customStyle="1" w:styleId="53">
    <w:name w:val="font41"/>
    <w:basedOn w:val="28"/>
    <w:autoRedefine/>
    <w:qFormat/>
    <w:uiPriority w:val="0"/>
    <w:rPr>
      <w:rFonts w:hint="eastAsia" w:ascii="宋体" w:hAnsi="宋体" w:eastAsia="宋体"/>
      <w:b/>
      <w:bCs/>
      <w:color w:val="000000"/>
      <w:sz w:val="21"/>
      <w:szCs w:val="21"/>
      <w:u w:val="none"/>
    </w:rPr>
  </w:style>
  <w:style w:type="character" w:customStyle="1" w:styleId="54">
    <w:name w:val="font61"/>
    <w:basedOn w:val="28"/>
    <w:autoRedefine/>
    <w:qFormat/>
    <w:uiPriority w:val="0"/>
    <w:rPr>
      <w:rFonts w:hint="default" w:ascii="Times New Roman" w:hAnsi="Times New Roman" w:cs="Times New Roman"/>
      <w:b/>
      <w:bCs/>
      <w:color w:val="000000"/>
      <w:sz w:val="21"/>
      <w:szCs w:val="21"/>
      <w:u w:val="none"/>
    </w:rPr>
  </w:style>
  <w:style w:type="character" w:customStyle="1" w:styleId="55">
    <w:name w:val="font91"/>
    <w:basedOn w:val="28"/>
    <w:autoRedefine/>
    <w:qFormat/>
    <w:uiPriority w:val="0"/>
    <w:rPr>
      <w:rFonts w:hint="default" w:ascii="Times New Roman" w:hAnsi="Times New Roman" w:cs="Times New Roman"/>
      <w:b/>
      <w:bCs/>
      <w:color w:val="000000"/>
      <w:sz w:val="21"/>
      <w:szCs w:val="21"/>
      <w:u w:val="none"/>
    </w:rPr>
  </w:style>
  <w:style w:type="character" w:customStyle="1" w:styleId="56">
    <w:name w:val="标题 5 字符"/>
    <w:basedOn w:val="28"/>
    <w:link w:val="6"/>
    <w:autoRedefine/>
    <w:semiHidden/>
    <w:qFormat/>
    <w:uiPriority w:val="0"/>
    <w:rPr>
      <w:rFonts w:eastAsia="仿宋"/>
      <w:b/>
      <w:bCs/>
      <w:kern w:val="2"/>
      <w:sz w:val="28"/>
      <w:szCs w:val="28"/>
    </w:rPr>
  </w:style>
  <w:style w:type="paragraph" w:customStyle="1" w:styleId="57">
    <w:name w:val="表格"/>
    <w:link w:val="158"/>
    <w:autoRedefine/>
    <w:qFormat/>
    <w:uiPriority w:val="0"/>
    <w:pPr>
      <w:numPr>
        <w:ilvl w:val="0"/>
        <w:numId w:val="1"/>
      </w:numPr>
      <w:adjustRightInd w:val="0"/>
      <w:snapToGrid w:val="0"/>
      <w:spacing w:line="360" w:lineRule="auto"/>
      <w:ind w:left="0" w:firstLine="0"/>
      <w:jc w:val="center"/>
    </w:pPr>
    <w:rPr>
      <w:rFonts w:ascii="Times New Roman" w:hAnsi="Times New Roman" w:eastAsia="仿宋" w:cs="Times New Roman"/>
      <w:kern w:val="2"/>
      <w:sz w:val="24"/>
      <w:szCs w:val="24"/>
      <w:lang w:val="en-US" w:eastAsia="zh-CN" w:bidi="ar-SA"/>
    </w:rPr>
  </w:style>
  <w:style w:type="table" w:customStyle="1" w:styleId="58">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59">
    <w:name w:val="正文文本 字符"/>
    <w:basedOn w:val="28"/>
    <w:link w:val="9"/>
    <w:autoRedefine/>
    <w:qFormat/>
    <w:uiPriority w:val="1"/>
    <w:rPr>
      <w:rFonts w:ascii="宋体" w:hAnsi="宋体" w:cs="宋体"/>
      <w:sz w:val="28"/>
      <w:szCs w:val="28"/>
      <w:lang w:eastAsia="en-US"/>
    </w:rPr>
  </w:style>
  <w:style w:type="paragraph" w:customStyle="1" w:styleId="60">
    <w:name w:val="Table Paragraph"/>
    <w:basedOn w:val="1"/>
    <w:autoRedefine/>
    <w:qFormat/>
    <w:uiPriority w:val="1"/>
    <w:pPr>
      <w:autoSpaceDE w:val="0"/>
      <w:autoSpaceDN w:val="0"/>
      <w:spacing w:line="240" w:lineRule="auto"/>
      <w:ind w:firstLine="0" w:firstLineChars="0"/>
      <w:jc w:val="left"/>
    </w:pPr>
    <w:rPr>
      <w:rFonts w:ascii="宋体" w:hAnsi="宋体" w:eastAsia="宋体" w:cs="宋体"/>
      <w:kern w:val="0"/>
      <w:sz w:val="22"/>
      <w:szCs w:val="22"/>
      <w:lang w:eastAsia="en-US"/>
    </w:rPr>
  </w:style>
  <w:style w:type="paragraph" w:customStyle="1" w:styleId="61">
    <w:name w:val="C-正文"/>
    <w:basedOn w:val="1"/>
    <w:autoRedefine/>
    <w:qFormat/>
    <w:uiPriority w:val="0"/>
    <w:pPr>
      <w:ind w:firstLine="480"/>
    </w:pPr>
    <w:rPr>
      <w:rFonts w:eastAsia="宋体"/>
      <w:kern w:val="0"/>
      <w:sz w:val="24"/>
      <w:szCs w:val="28"/>
    </w:rPr>
  </w:style>
  <w:style w:type="paragraph" w:customStyle="1" w:styleId="62">
    <w:name w:val="C-3标题"/>
    <w:basedOn w:val="1"/>
    <w:next w:val="1"/>
    <w:autoRedefine/>
    <w:qFormat/>
    <w:uiPriority w:val="0"/>
    <w:pPr>
      <w:widowControl/>
      <w:numPr>
        <w:ilvl w:val="2"/>
        <w:numId w:val="2"/>
      </w:numPr>
      <w:ind w:firstLine="0" w:firstLineChars="0"/>
      <w:jc w:val="left"/>
      <w:outlineLvl w:val="2"/>
    </w:pPr>
    <w:rPr>
      <w:rFonts w:eastAsia="黑体"/>
      <w:b/>
      <w:kern w:val="0"/>
      <w:sz w:val="24"/>
      <w:szCs w:val="28"/>
    </w:rPr>
  </w:style>
  <w:style w:type="paragraph" w:customStyle="1" w:styleId="63">
    <w:name w:val="C-2标题"/>
    <w:basedOn w:val="62"/>
    <w:next w:val="62"/>
    <w:autoRedefine/>
    <w:qFormat/>
    <w:uiPriority w:val="0"/>
    <w:pPr>
      <w:numPr>
        <w:ilvl w:val="1"/>
      </w:numPr>
      <w:outlineLvl w:val="1"/>
    </w:pPr>
    <w:rPr>
      <w:b w:val="0"/>
      <w:sz w:val="28"/>
    </w:rPr>
  </w:style>
  <w:style w:type="paragraph" w:customStyle="1" w:styleId="64">
    <w:name w:val="标题4"/>
    <w:link w:val="66"/>
    <w:autoRedefine/>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65">
    <w:name w:val="样式 标题 2 + 宋体"/>
    <w:basedOn w:val="3"/>
    <w:autoRedefine/>
    <w:qFormat/>
    <w:uiPriority w:val="0"/>
    <w:pPr>
      <w:tabs>
        <w:tab w:val="left" w:pos="360"/>
      </w:tabs>
      <w:spacing w:before="120" w:after="120" w:line="413" w:lineRule="auto"/>
      <w:ind w:firstLine="0" w:firstLineChars="0"/>
      <w:jc w:val="left"/>
    </w:pPr>
    <w:rPr>
      <w:rFonts w:ascii="宋体" w:hAnsi="宋体" w:eastAsia="宋体" w:cs="Times New Roman"/>
      <w:sz w:val="30"/>
    </w:rPr>
  </w:style>
  <w:style w:type="character" w:customStyle="1" w:styleId="66">
    <w:name w:val="标题4 字符"/>
    <w:basedOn w:val="28"/>
    <w:link w:val="64"/>
    <w:autoRedefine/>
    <w:qFormat/>
    <w:uiPriority w:val="0"/>
    <w:rPr>
      <w:rFonts w:eastAsia="仿宋_GB2312"/>
      <w:b/>
      <w:kern w:val="2"/>
      <w:sz w:val="28"/>
      <w:szCs w:val="24"/>
    </w:rPr>
  </w:style>
  <w:style w:type="character" w:customStyle="1" w:styleId="67">
    <w:name w:val="font21"/>
    <w:basedOn w:val="28"/>
    <w:autoRedefine/>
    <w:qFormat/>
    <w:uiPriority w:val="0"/>
    <w:rPr>
      <w:rFonts w:hint="default" w:ascii="Times New Roman" w:hAnsi="Times New Roman" w:cs="Times New Roman"/>
      <w:color w:val="000000"/>
      <w:sz w:val="22"/>
      <w:szCs w:val="22"/>
      <w:u w:val="none"/>
    </w:rPr>
  </w:style>
  <w:style w:type="character" w:customStyle="1" w:styleId="68">
    <w:name w:val="样式 首行缩进:  2 字符 行距: 1.5 倍行距 Char Char"/>
    <w:link w:val="69"/>
    <w:autoRedefine/>
    <w:qFormat/>
    <w:uiPriority w:val="0"/>
    <w:rPr>
      <w:rFonts w:eastAsia="仿宋_GB2312"/>
      <w:sz w:val="28"/>
    </w:rPr>
  </w:style>
  <w:style w:type="paragraph" w:customStyle="1" w:styleId="69">
    <w:name w:val="样式 首行缩进:  2 字符 行距: 1.5 倍行距"/>
    <w:basedOn w:val="1"/>
    <w:link w:val="68"/>
    <w:autoRedefine/>
    <w:qFormat/>
    <w:uiPriority w:val="0"/>
    <w:pPr>
      <w:spacing w:line="240" w:lineRule="auto"/>
      <w:ind w:firstLine="560"/>
    </w:pPr>
    <w:rPr>
      <w:kern w:val="0"/>
      <w:szCs w:val="20"/>
    </w:rPr>
  </w:style>
  <w:style w:type="character" w:customStyle="1" w:styleId="70">
    <w:name w:val="font81"/>
    <w:basedOn w:val="28"/>
    <w:autoRedefine/>
    <w:qFormat/>
    <w:uiPriority w:val="0"/>
    <w:rPr>
      <w:rFonts w:hint="eastAsia" w:ascii="仿宋" w:hAnsi="仿宋" w:eastAsia="仿宋"/>
      <w:color w:val="000000"/>
      <w:sz w:val="22"/>
      <w:szCs w:val="22"/>
      <w:u w:val="none"/>
      <w:vertAlign w:val="superscript"/>
    </w:rPr>
  </w:style>
  <w:style w:type="character" w:customStyle="1" w:styleId="71">
    <w:name w:val="批注框文本 字符"/>
    <w:basedOn w:val="28"/>
    <w:link w:val="15"/>
    <w:autoRedefine/>
    <w:semiHidden/>
    <w:qFormat/>
    <w:uiPriority w:val="0"/>
    <w:rPr>
      <w:rFonts w:eastAsia="仿宋"/>
      <w:kern w:val="2"/>
      <w:sz w:val="18"/>
      <w:szCs w:val="18"/>
    </w:rPr>
  </w:style>
  <w:style w:type="paragraph" w:customStyle="1" w:styleId="72">
    <w:name w:val="样式1"/>
    <w:basedOn w:val="17"/>
    <w:autoRedefine/>
    <w:qFormat/>
    <w:uiPriority w:val="0"/>
    <w:pPr>
      <w:pBdr>
        <w:bottom w:val="none" w:color="auto" w:sz="0" w:space="0"/>
      </w:pBdr>
      <w:ind w:firstLine="360"/>
    </w:pPr>
  </w:style>
  <w:style w:type="character" w:customStyle="1" w:styleId="73">
    <w:name w:val="标题 4 字符"/>
    <w:basedOn w:val="28"/>
    <w:link w:val="5"/>
    <w:autoRedefine/>
    <w:semiHidden/>
    <w:qFormat/>
    <w:uiPriority w:val="0"/>
    <w:rPr>
      <w:rFonts w:asciiTheme="majorHAnsi" w:hAnsiTheme="majorHAnsi" w:eastAsiaTheme="majorEastAsia" w:cstheme="majorBidi"/>
      <w:b/>
      <w:bCs/>
      <w:kern w:val="2"/>
      <w:sz w:val="28"/>
      <w:szCs w:val="28"/>
    </w:rPr>
  </w:style>
  <w:style w:type="paragraph" w:customStyle="1" w:styleId="74">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p0"/>
    <w:basedOn w:val="1"/>
    <w:autoRedefine/>
    <w:qFormat/>
    <w:uiPriority w:val="0"/>
    <w:pPr>
      <w:widowControl/>
      <w:spacing w:line="240" w:lineRule="auto"/>
      <w:ind w:firstLine="0" w:firstLineChars="0"/>
    </w:pPr>
    <w:rPr>
      <w:rFonts w:eastAsia="宋体"/>
      <w:kern w:val="0"/>
      <w:sz w:val="21"/>
      <w:szCs w:val="21"/>
    </w:rPr>
  </w:style>
  <w:style w:type="character" w:customStyle="1" w:styleId="76">
    <w:name w:val="批注文字 字符"/>
    <w:basedOn w:val="28"/>
    <w:link w:val="8"/>
    <w:autoRedefine/>
    <w:qFormat/>
    <w:uiPriority w:val="0"/>
    <w:rPr>
      <w:rFonts w:eastAsia="仿宋"/>
      <w:kern w:val="2"/>
      <w:sz w:val="28"/>
      <w:szCs w:val="24"/>
    </w:rPr>
  </w:style>
  <w:style w:type="character" w:customStyle="1" w:styleId="77">
    <w:name w:val="批注主题 字符"/>
    <w:basedOn w:val="76"/>
    <w:link w:val="25"/>
    <w:autoRedefine/>
    <w:qFormat/>
    <w:uiPriority w:val="0"/>
    <w:rPr>
      <w:rFonts w:eastAsia="仿宋"/>
      <w:b/>
      <w:bCs/>
      <w:kern w:val="2"/>
      <w:sz w:val="28"/>
      <w:szCs w:val="24"/>
    </w:rPr>
  </w:style>
  <w:style w:type="character" w:customStyle="1" w:styleId="78">
    <w:name w:val="font12"/>
    <w:basedOn w:val="28"/>
    <w:autoRedefine/>
    <w:qFormat/>
    <w:uiPriority w:val="0"/>
    <w:rPr>
      <w:rFonts w:hint="eastAsia" w:ascii="仿宋" w:hAnsi="仿宋" w:eastAsia="仿宋"/>
      <w:color w:val="000000"/>
      <w:sz w:val="22"/>
      <w:szCs w:val="22"/>
      <w:u w:val="none"/>
      <w:vertAlign w:val="superscript"/>
    </w:rPr>
  </w:style>
  <w:style w:type="character" w:customStyle="1" w:styleId="79">
    <w:name w:val="font111"/>
    <w:basedOn w:val="28"/>
    <w:autoRedefine/>
    <w:qFormat/>
    <w:uiPriority w:val="0"/>
    <w:rPr>
      <w:rFonts w:hint="eastAsia" w:ascii="仿宋" w:hAnsi="仿宋" w:eastAsia="仿宋"/>
      <w:color w:val="000000"/>
      <w:sz w:val="22"/>
      <w:szCs w:val="22"/>
      <w:u w:val="none"/>
    </w:rPr>
  </w:style>
  <w:style w:type="paragraph" w:customStyle="1" w:styleId="80">
    <w:name w:val="样式2"/>
    <w:basedOn w:val="17"/>
    <w:autoRedefine/>
    <w:qFormat/>
    <w:uiPriority w:val="0"/>
    <w:pPr>
      <w:pBdr>
        <w:bottom w:val="none" w:color="auto" w:sz="0" w:space="0"/>
      </w:pBdr>
      <w:ind w:firstLine="360"/>
    </w:pPr>
  </w:style>
  <w:style w:type="character" w:customStyle="1" w:styleId="81">
    <w:name w:val="font101"/>
    <w:basedOn w:val="28"/>
    <w:autoRedefine/>
    <w:qFormat/>
    <w:uiPriority w:val="0"/>
    <w:rPr>
      <w:rFonts w:hint="eastAsia" w:ascii="仿宋" w:hAnsi="仿宋" w:eastAsia="仿宋"/>
      <w:color w:val="000000"/>
      <w:sz w:val="22"/>
      <w:szCs w:val="22"/>
      <w:u w:val="none"/>
    </w:rPr>
  </w:style>
  <w:style w:type="paragraph" w:customStyle="1" w:styleId="82">
    <w:name w:val="样式3"/>
    <w:basedOn w:val="17"/>
    <w:autoRedefine/>
    <w:qFormat/>
    <w:uiPriority w:val="0"/>
    <w:pPr>
      <w:pBdr>
        <w:bottom w:val="none" w:color="auto" w:sz="0" w:space="0"/>
      </w:pBdr>
      <w:ind w:firstLine="360"/>
    </w:pPr>
  </w:style>
  <w:style w:type="paragraph" w:customStyle="1" w:styleId="83">
    <w:name w:val="样式4"/>
    <w:basedOn w:val="17"/>
    <w:autoRedefine/>
    <w:qFormat/>
    <w:uiPriority w:val="0"/>
    <w:pPr>
      <w:pBdr>
        <w:bottom w:val="none" w:color="auto" w:sz="0" w:space="0"/>
      </w:pBdr>
      <w:ind w:firstLine="360"/>
    </w:pPr>
  </w:style>
  <w:style w:type="paragraph" w:customStyle="1" w:styleId="84">
    <w:name w:val="样式5"/>
    <w:basedOn w:val="17"/>
    <w:autoRedefine/>
    <w:qFormat/>
    <w:uiPriority w:val="0"/>
    <w:pPr>
      <w:pBdr>
        <w:bottom w:val="none" w:color="auto" w:sz="0" w:space="0"/>
      </w:pBdr>
      <w:ind w:firstLine="360"/>
    </w:pPr>
  </w:style>
  <w:style w:type="paragraph" w:customStyle="1" w:styleId="85">
    <w:name w:val="样式6"/>
    <w:basedOn w:val="17"/>
    <w:autoRedefine/>
    <w:qFormat/>
    <w:uiPriority w:val="0"/>
    <w:pPr>
      <w:pBdr>
        <w:bottom w:val="none" w:color="auto" w:sz="0" w:space="0"/>
      </w:pBdr>
      <w:ind w:firstLine="360"/>
    </w:pPr>
  </w:style>
  <w:style w:type="paragraph" w:customStyle="1" w:styleId="86">
    <w:name w:val="样式7"/>
    <w:basedOn w:val="17"/>
    <w:autoRedefine/>
    <w:qFormat/>
    <w:uiPriority w:val="0"/>
    <w:pPr>
      <w:pBdr>
        <w:bottom w:val="none" w:color="auto" w:sz="0" w:space="0"/>
      </w:pBdr>
      <w:ind w:firstLine="360"/>
    </w:pPr>
  </w:style>
  <w:style w:type="paragraph" w:customStyle="1" w:styleId="87">
    <w:name w:val="表头"/>
    <w:link w:val="88"/>
    <w:autoRedefine/>
    <w:qFormat/>
    <w:uiPriority w:val="0"/>
    <w:pPr>
      <w:spacing w:line="360" w:lineRule="auto"/>
      <w:jc w:val="center"/>
    </w:pPr>
    <w:rPr>
      <w:rFonts w:ascii="Times New Roman" w:hAnsi="Times New Roman" w:eastAsia="仿宋_GB2312" w:cstheme="minorBidi"/>
      <w:b/>
      <w:bCs/>
      <w:kern w:val="2"/>
      <w:sz w:val="28"/>
      <w:szCs w:val="22"/>
      <w:lang w:val="en-US" w:eastAsia="zh-CN" w:bidi="ar-SA"/>
    </w:rPr>
  </w:style>
  <w:style w:type="character" w:customStyle="1" w:styleId="88">
    <w:name w:val="表头 字符"/>
    <w:basedOn w:val="28"/>
    <w:link w:val="87"/>
    <w:autoRedefine/>
    <w:qFormat/>
    <w:uiPriority w:val="0"/>
    <w:rPr>
      <w:rFonts w:eastAsia="仿宋_GB2312" w:cstheme="minorBidi"/>
      <w:b/>
      <w:bCs/>
      <w:kern w:val="2"/>
      <w:sz w:val="28"/>
      <w:szCs w:val="22"/>
    </w:rPr>
  </w:style>
  <w:style w:type="paragraph" w:customStyle="1" w:styleId="89">
    <w:name w:val="正文4"/>
    <w:autoRedefine/>
    <w:qFormat/>
    <w:uiPriority w:val="0"/>
    <w:pPr>
      <w:jc w:val="both"/>
    </w:pPr>
    <w:rPr>
      <w:rFonts w:ascii="宋体" w:hAnsi="宋体" w:eastAsia="宋体" w:cs="宋体"/>
      <w:kern w:val="2"/>
      <w:sz w:val="21"/>
      <w:szCs w:val="21"/>
      <w:lang w:val="en-US" w:eastAsia="zh-CN" w:bidi="ar-SA"/>
    </w:rPr>
  </w:style>
  <w:style w:type="paragraph" w:customStyle="1" w:styleId="90">
    <w:name w:val="目录 11"/>
    <w:basedOn w:val="1"/>
    <w:next w:val="1"/>
    <w:autoRedefine/>
    <w:qFormat/>
    <w:uiPriority w:val="0"/>
    <w:pPr>
      <w:spacing w:line="240" w:lineRule="auto"/>
      <w:ind w:firstLine="0" w:firstLineChars="0"/>
      <w:jc w:val="left"/>
    </w:pPr>
    <w:rPr>
      <w:rFonts w:eastAsia="宋体"/>
      <w:b/>
      <w:bCs/>
      <w:caps/>
      <w:sz w:val="20"/>
      <w:szCs w:val="20"/>
    </w:rPr>
  </w:style>
  <w:style w:type="paragraph" w:customStyle="1" w:styleId="91">
    <w:name w:val="样式8"/>
    <w:basedOn w:val="17"/>
    <w:autoRedefine/>
    <w:qFormat/>
    <w:uiPriority w:val="0"/>
    <w:pPr>
      <w:pBdr>
        <w:bottom w:val="none" w:color="auto" w:sz="0" w:space="0"/>
      </w:pBdr>
      <w:ind w:firstLine="360"/>
    </w:pPr>
  </w:style>
  <w:style w:type="paragraph" w:customStyle="1" w:styleId="92">
    <w:name w:val="样式9"/>
    <w:basedOn w:val="17"/>
    <w:autoRedefine/>
    <w:qFormat/>
    <w:uiPriority w:val="0"/>
    <w:pPr>
      <w:pBdr>
        <w:bottom w:val="none" w:color="auto" w:sz="0" w:space="0"/>
      </w:pBdr>
      <w:ind w:firstLine="360"/>
    </w:pPr>
  </w:style>
  <w:style w:type="paragraph" w:customStyle="1" w:styleId="93">
    <w:name w:val="样式10"/>
    <w:basedOn w:val="17"/>
    <w:autoRedefine/>
    <w:qFormat/>
    <w:uiPriority w:val="0"/>
    <w:pPr>
      <w:pBdr>
        <w:bottom w:val="none" w:color="auto" w:sz="0" w:space="0"/>
      </w:pBdr>
      <w:ind w:firstLine="360"/>
    </w:pPr>
  </w:style>
  <w:style w:type="paragraph" w:styleId="94">
    <w:name w:val="No Spacing"/>
    <w:autoRedefine/>
    <w:qFormat/>
    <w:uiPriority w:val="1"/>
    <w:pPr>
      <w:widowControl w:val="0"/>
      <w:ind w:firstLine="200" w:firstLineChars="200"/>
      <w:jc w:val="both"/>
    </w:pPr>
    <w:rPr>
      <w:rFonts w:ascii="Times New Roman" w:hAnsi="Times New Roman" w:eastAsia="仿宋" w:cstheme="minorBidi"/>
      <w:kern w:val="2"/>
      <w:sz w:val="28"/>
      <w:szCs w:val="22"/>
      <w:lang w:val="en-US" w:eastAsia="zh-CN" w:bidi="ar-SA"/>
    </w:rPr>
  </w:style>
  <w:style w:type="paragraph" w:customStyle="1" w:styleId="95">
    <w:name w:val="msonormal"/>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96">
    <w:name w:val="font0"/>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97">
    <w:name w:val="font1"/>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4"/>
    </w:rPr>
  </w:style>
  <w:style w:type="paragraph" w:customStyle="1" w:styleId="98">
    <w:name w:val="font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21"/>
      <w:szCs w:val="21"/>
    </w:rPr>
  </w:style>
  <w:style w:type="paragraph" w:customStyle="1" w:styleId="99">
    <w:name w:val="font3"/>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0"/>
      <w:szCs w:val="20"/>
    </w:rPr>
  </w:style>
  <w:style w:type="paragraph" w:customStyle="1" w:styleId="100">
    <w:name w:val="font4"/>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4"/>
    </w:rPr>
  </w:style>
  <w:style w:type="paragraph" w:customStyle="1" w:styleId="101">
    <w:name w:val="font5"/>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1"/>
      <w:szCs w:val="21"/>
    </w:rPr>
  </w:style>
  <w:style w:type="paragraph" w:customStyle="1" w:styleId="102">
    <w:name w:val="font6"/>
    <w:basedOn w:val="1"/>
    <w:autoRedefine/>
    <w:qFormat/>
    <w:uiPriority w:val="0"/>
    <w:pPr>
      <w:widowControl/>
      <w:spacing w:before="100" w:beforeAutospacing="1" w:after="100" w:afterAutospacing="1" w:line="240" w:lineRule="auto"/>
      <w:ind w:firstLine="0" w:firstLineChars="0"/>
      <w:jc w:val="left"/>
    </w:pPr>
    <w:rPr>
      <w:rFonts w:eastAsia="宋体"/>
      <w:color w:val="000000"/>
      <w:kern w:val="0"/>
      <w:sz w:val="21"/>
      <w:szCs w:val="21"/>
    </w:rPr>
  </w:style>
  <w:style w:type="paragraph" w:customStyle="1" w:styleId="103">
    <w:name w:val="font7"/>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1"/>
      <w:szCs w:val="21"/>
    </w:rPr>
  </w:style>
  <w:style w:type="paragraph" w:customStyle="1" w:styleId="104">
    <w:name w:val="font8"/>
    <w:basedOn w:val="1"/>
    <w:autoRedefine/>
    <w:qFormat/>
    <w:uiPriority w:val="0"/>
    <w:pPr>
      <w:widowControl/>
      <w:spacing w:before="100" w:beforeAutospacing="1" w:after="100" w:afterAutospacing="1" w:line="240" w:lineRule="auto"/>
      <w:ind w:firstLine="0" w:firstLineChars="0"/>
      <w:jc w:val="left"/>
    </w:pPr>
    <w:rPr>
      <w:rFonts w:eastAsia="宋体"/>
      <w:color w:val="000000"/>
      <w:kern w:val="0"/>
      <w:sz w:val="21"/>
      <w:szCs w:val="21"/>
    </w:rPr>
  </w:style>
  <w:style w:type="paragraph" w:customStyle="1" w:styleId="105">
    <w:name w:val="font9"/>
    <w:basedOn w:val="1"/>
    <w:autoRedefine/>
    <w:qFormat/>
    <w:uiPriority w:val="0"/>
    <w:pPr>
      <w:widowControl/>
      <w:spacing w:before="100" w:beforeAutospacing="1" w:after="100" w:afterAutospacing="1" w:line="240" w:lineRule="auto"/>
      <w:ind w:firstLine="0" w:firstLineChars="0"/>
      <w:jc w:val="left"/>
    </w:pPr>
    <w:rPr>
      <w:rFonts w:ascii="仿宋" w:hAnsi="仿宋" w:eastAsia="仿宋" w:cs="宋体"/>
      <w:color w:val="000000"/>
      <w:kern w:val="0"/>
      <w:sz w:val="20"/>
      <w:szCs w:val="20"/>
    </w:rPr>
  </w:style>
  <w:style w:type="paragraph" w:customStyle="1" w:styleId="106">
    <w:name w:val="et4"/>
    <w:basedOn w:val="1"/>
    <w:autoRedefine/>
    <w:qFormat/>
    <w:uiPriority w:val="0"/>
    <w:pPr>
      <w:widowControl/>
      <w:spacing w:before="100" w:beforeAutospacing="1" w:after="100" w:afterAutospacing="1" w:line="240" w:lineRule="auto"/>
      <w:ind w:firstLine="0" w:firstLineChars="0"/>
      <w:jc w:val="left"/>
    </w:pPr>
    <w:rPr>
      <w:rFonts w:ascii="仿宋" w:hAnsi="仿宋" w:eastAsia="仿宋" w:cs="宋体"/>
      <w:kern w:val="0"/>
      <w:sz w:val="20"/>
      <w:szCs w:val="20"/>
    </w:rPr>
  </w:style>
  <w:style w:type="paragraph" w:customStyle="1" w:styleId="107">
    <w:name w:val="et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b/>
      <w:bCs/>
      <w:kern w:val="0"/>
      <w:sz w:val="21"/>
      <w:szCs w:val="21"/>
    </w:rPr>
  </w:style>
  <w:style w:type="paragraph" w:customStyle="1" w:styleId="108">
    <w:name w:val="et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b/>
      <w:bCs/>
      <w:kern w:val="0"/>
      <w:sz w:val="21"/>
      <w:szCs w:val="21"/>
    </w:rPr>
  </w:style>
  <w:style w:type="paragraph" w:customStyle="1" w:styleId="109">
    <w:name w:val="et7"/>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10">
    <w:name w:val="et8"/>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11">
    <w:name w:val="et9"/>
    <w:basedOn w:val="1"/>
    <w:autoRedefine/>
    <w:qFormat/>
    <w:uiPriority w:val="0"/>
    <w:pPr>
      <w:widowControl/>
      <w:spacing w:before="100" w:beforeAutospacing="1" w:after="100" w:afterAutospacing="1" w:line="240" w:lineRule="auto"/>
      <w:ind w:firstLine="0" w:firstLineChars="0"/>
      <w:jc w:val="center"/>
    </w:pPr>
    <w:rPr>
      <w:rFonts w:ascii="宋体" w:hAnsi="宋体" w:eastAsia="宋体" w:cs="宋体"/>
      <w:b/>
      <w:bCs/>
      <w:kern w:val="0"/>
      <w:sz w:val="21"/>
      <w:szCs w:val="21"/>
    </w:rPr>
  </w:style>
  <w:style w:type="paragraph" w:customStyle="1" w:styleId="112">
    <w:name w:val="et1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13">
    <w:name w:val="et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14">
    <w:name w:val="et1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eastAsia="宋体"/>
      <w:kern w:val="0"/>
      <w:sz w:val="21"/>
      <w:szCs w:val="21"/>
    </w:rPr>
  </w:style>
  <w:style w:type="paragraph" w:customStyle="1" w:styleId="115">
    <w:name w:val="et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16">
    <w:name w:val="et1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eastAsia="宋体"/>
      <w:kern w:val="0"/>
      <w:sz w:val="21"/>
      <w:szCs w:val="21"/>
    </w:rPr>
  </w:style>
  <w:style w:type="paragraph" w:customStyle="1" w:styleId="117">
    <w:name w:val="et2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18">
    <w:name w:val="et2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19">
    <w:name w:val="et2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仿宋" w:hAnsi="仿宋" w:eastAsia="仿宋" w:cs="宋体"/>
      <w:kern w:val="0"/>
      <w:sz w:val="20"/>
      <w:szCs w:val="20"/>
    </w:rPr>
  </w:style>
  <w:style w:type="paragraph" w:customStyle="1" w:styleId="120">
    <w:name w:val="et24"/>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21">
    <w:name w:val="et2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22">
    <w:name w:val="et2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23">
    <w:name w:val="et28"/>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24">
    <w:name w:val="et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25">
    <w:name w:val="et3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26">
    <w:name w:val="et3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127">
    <w:name w:val="et3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character" w:customStyle="1" w:styleId="128">
    <w:name w:val="font51"/>
    <w:basedOn w:val="28"/>
    <w:autoRedefine/>
    <w:qFormat/>
    <w:uiPriority w:val="0"/>
    <w:rPr>
      <w:rFonts w:hint="eastAsia" w:ascii="宋体" w:hAnsi="宋体" w:eastAsia="宋体"/>
      <w:color w:val="000000"/>
      <w:sz w:val="21"/>
      <w:szCs w:val="21"/>
      <w:u w:val="none"/>
    </w:rPr>
  </w:style>
  <w:style w:type="paragraph" w:customStyle="1" w:styleId="129">
    <w:name w:val="样式11"/>
    <w:basedOn w:val="17"/>
    <w:autoRedefine/>
    <w:qFormat/>
    <w:uiPriority w:val="0"/>
    <w:pPr>
      <w:pBdr>
        <w:bottom w:val="none" w:color="auto" w:sz="0" w:space="0"/>
      </w:pBdr>
      <w:ind w:firstLine="360"/>
    </w:pPr>
  </w:style>
  <w:style w:type="paragraph" w:customStyle="1" w:styleId="130">
    <w:name w:val="列出段落1"/>
    <w:basedOn w:val="1"/>
    <w:autoRedefine/>
    <w:qFormat/>
    <w:uiPriority w:val="34"/>
    <w:pPr>
      <w:spacing w:line="240" w:lineRule="auto"/>
      <w:ind w:firstLine="420"/>
    </w:pPr>
    <w:rPr>
      <w:rFonts w:eastAsia="宋体"/>
      <w:sz w:val="21"/>
      <w:szCs w:val="21"/>
    </w:rPr>
  </w:style>
  <w:style w:type="paragraph" w:customStyle="1" w:styleId="131">
    <w:name w:val="样式12"/>
    <w:basedOn w:val="17"/>
    <w:autoRedefine/>
    <w:qFormat/>
    <w:uiPriority w:val="0"/>
    <w:pPr>
      <w:pBdr>
        <w:bottom w:val="none" w:color="auto" w:sz="0" w:space="0"/>
      </w:pBdr>
      <w:ind w:firstLine="360"/>
    </w:pPr>
  </w:style>
  <w:style w:type="paragraph" w:customStyle="1" w:styleId="132">
    <w:name w:val="样式13"/>
    <w:basedOn w:val="17"/>
    <w:autoRedefine/>
    <w:qFormat/>
    <w:uiPriority w:val="0"/>
    <w:pPr>
      <w:pBdr>
        <w:bottom w:val="none" w:color="auto" w:sz="0" w:space="0"/>
      </w:pBdr>
      <w:ind w:firstLine="360"/>
    </w:pPr>
  </w:style>
  <w:style w:type="paragraph" w:customStyle="1" w:styleId="133">
    <w:name w:val="样式14"/>
    <w:basedOn w:val="17"/>
    <w:autoRedefine/>
    <w:qFormat/>
    <w:uiPriority w:val="0"/>
    <w:pPr>
      <w:pBdr>
        <w:bottom w:val="none" w:color="auto" w:sz="0" w:space="0"/>
      </w:pBdr>
      <w:tabs>
        <w:tab w:val="left" w:pos="6720"/>
        <w:tab w:val="clear" w:pos="8306"/>
      </w:tabs>
      <w:ind w:firstLine="360"/>
      <w:jc w:val="left"/>
    </w:pPr>
  </w:style>
  <w:style w:type="paragraph" w:customStyle="1" w:styleId="134">
    <w:name w:val="样式15"/>
    <w:basedOn w:val="17"/>
    <w:autoRedefine/>
    <w:qFormat/>
    <w:uiPriority w:val="0"/>
    <w:pPr>
      <w:pBdr>
        <w:bottom w:val="none" w:color="auto" w:sz="0" w:space="0"/>
      </w:pBdr>
      <w:ind w:firstLine="360"/>
    </w:pPr>
  </w:style>
  <w:style w:type="paragraph" w:customStyle="1" w:styleId="135">
    <w:name w:val="样式16"/>
    <w:basedOn w:val="17"/>
    <w:autoRedefine/>
    <w:qFormat/>
    <w:uiPriority w:val="0"/>
    <w:pPr>
      <w:pBdr>
        <w:bottom w:val="none" w:color="auto" w:sz="0" w:space="0"/>
      </w:pBdr>
      <w:ind w:firstLine="360"/>
    </w:pPr>
  </w:style>
  <w:style w:type="paragraph" w:customStyle="1" w:styleId="136">
    <w:name w:val="样式17"/>
    <w:basedOn w:val="17"/>
    <w:autoRedefine/>
    <w:qFormat/>
    <w:uiPriority w:val="0"/>
    <w:pPr>
      <w:pBdr>
        <w:bottom w:val="none" w:color="auto" w:sz="0" w:space="0"/>
      </w:pBdr>
      <w:ind w:firstLine="360"/>
    </w:pPr>
  </w:style>
  <w:style w:type="paragraph" w:customStyle="1" w:styleId="137">
    <w:name w:val="样式18"/>
    <w:basedOn w:val="17"/>
    <w:autoRedefine/>
    <w:qFormat/>
    <w:uiPriority w:val="0"/>
    <w:pPr>
      <w:pBdr>
        <w:bottom w:val="none" w:color="auto" w:sz="0" w:space="0"/>
      </w:pBdr>
      <w:ind w:firstLine="360"/>
    </w:pPr>
  </w:style>
  <w:style w:type="paragraph" w:customStyle="1" w:styleId="138">
    <w:name w:val="表格3"/>
    <w:basedOn w:val="31"/>
    <w:link w:val="140"/>
    <w:autoRedefine/>
    <w:qFormat/>
    <w:uiPriority w:val="0"/>
    <w:pPr>
      <w:spacing w:line="500" w:lineRule="exact"/>
    </w:pPr>
    <w:rPr>
      <w:sz w:val="28"/>
    </w:rPr>
  </w:style>
  <w:style w:type="paragraph" w:customStyle="1" w:styleId="139">
    <w:name w:val="样式19"/>
    <w:basedOn w:val="17"/>
    <w:autoRedefine/>
    <w:qFormat/>
    <w:uiPriority w:val="0"/>
    <w:pPr>
      <w:pBdr>
        <w:bottom w:val="none" w:color="auto" w:sz="0" w:space="0"/>
      </w:pBdr>
      <w:ind w:firstLine="360"/>
    </w:pPr>
  </w:style>
  <w:style w:type="character" w:customStyle="1" w:styleId="140">
    <w:name w:val="表格3 字符"/>
    <w:basedOn w:val="41"/>
    <w:link w:val="138"/>
    <w:autoRedefine/>
    <w:qFormat/>
    <w:uiPriority w:val="0"/>
    <w:rPr>
      <w:rFonts w:eastAsia="仿宋_GB2312" w:cstheme="majorBidi"/>
      <w:b w:val="0"/>
      <w:bCs w:val="0"/>
      <w:kern w:val="2"/>
      <w:sz w:val="28"/>
      <w:szCs w:val="24"/>
    </w:rPr>
  </w:style>
  <w:style w:type="paragraph" w:customStyle="1" w:styleId="141">
    <w:name w:val="样式20"/>
    <w:basedOn w:val="17"/>
    <w:autoRedefine/>
    <w:qFormat/>
    <w:uiPriority w:val="0"/>
    <w:pPr>
      <w:pBdr>
        <w:bottom w:val="none" w:color="auto" w:sz="0" w:space="0"/>
      </w:pBdr>
      <w:ind w:firstLine="360"/>
    </w:pPr>
  </w:style>
  <w:style w:type="paragraph" w:customStyle="1" w:styleId="142">
    <w:name w:val="et2"/>
    <w:basedOn w:val="1"/>
    <w:autoRedefine/>
    <w:qFormat/>
    <w:uiPriority w:val="0"/>
    <w:pPr>
      <w:widowControl/>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3">
    <w:name w:val="et3"/>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et12"/>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pPr>
    <w:rPr>
      <w:rFonts w:ascii="仿宋_GB2312" w:hAnsi="宋体" w:cs="宋体"/>
      <w:kern w:val="0"/>
      <w:sz w:val="20"/>
      <w:szCs w:val="20"/>
    </w:rPr>
  </w:style>
  <w:style w:type="paragraph" w:customStyle="1" w:styleId="145">
    <w:name w:val="et13"/>
    <w:basedOn w:val="1"/>
    <w:autoRedefine/>
    <w:qFormat/>
    <w:uiPriority w:val="0"/>
    <w:pPr>
      <w:widowControl/>
      <w:pBdr>
        <w:top w:val="single" w:color="000000" w:sz="4" w:space="0"/>
        <w:bottom w:val="single" w:color="000000" w:sz="4" w:space="0"/>
      </w:pBdr>
      <w:spacing w:before="100" w:beforeAutospacing="1" w:after="100" w:afterAutospacing="1" w:line="240" w:lineRule="auto"/>
      <w:ind w:firstLine="0" w:firstLineChars="0"/>
      <w:jc w:val="center"/>
    </w:pPr>
    <w:rPr>
      <w:rFonts w:ascii="仿宋_GB2312" w:hAnsi="宋体" w:cs="宋体"/>
      <w:kern w:val="0"/>
      <w:sz w:val="20"/>
      <w:szCs w:val="20"/>
    </w:rPr>
  </w:style>
  <w:style w:type="paragraph" w:customStyle="1" w:styleId="146">
    <w:name w:val="et15"/>
    <w:basedOn w:val="1"/>
    <w:autoRedefine/>
    <w:qFormat/>
    <w:uiPriority w:val="0"/>
    <w:pPr>
      <w:widowControl/>
      <w:pBdr>
        <w:left w:val="single" w:color="000000" w:sz="4" w:space="0"/>
        <w:right w:val="single" w:color="000000" w:sz="4" w:space="0"/>
      </w:pBdr>
      <w:spacing w:before="100" w:beforeAutospacing="1" w:after="100" w:afterAutospacing="1" w:line="240" w:lineRule="auto"/>
      <w:ind w:firstLine="0" w:firstLineChars="0"/>
      <w:jc w:val="center"/>
    </w:pPr>
    <w:rPr>
      <w:rFonts w:eastAsia="宋体"/>
      <w:kern w:val="0"/>
      <w:sz w:val="20"/>
      <w:szCs w:val="20"/>
    </w:rPr>
  </w:style>
  <w:style w:type="paragraph" w:customStyle="1" w:styleId="147">
    <w:name w:val="et1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_GB2312" w:hAnsi="宋体" w:cs="宋体"/>
      <w:kern w:val="0"/>
      <w:sz w:val="20"/>
      <w:szCs w:val="20"/>
    </w:rPr>
  </w:style>
  <w:style w:type="paragraph" w:customStyle="1" w:styleId="148">
    <w:name w:val="et1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et2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_GB2312" w:hAnsi="宋体" w:cs="宋体"/>
      <w:kern w:val="0"/>
      <w:sz w:val="20"/>
      <w:szCs w:val="20"/>
    </w:rPr>
  </w:style>
  <w:style w:type="paragraph" w:customStyle="1" w:styleId="150">
    <w:name w:val="et2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_GB2312" w:hAnsi="宋体" w:cs="宋体"/>
      <w:kern w:val="0"/>
      <w:sz w:val="20"/>
      <w:szCs w:val="20"/>
    </w:rPr>
  </w:style>
  <w:style w:type="paragraph" w:customStyle="1" w:styleId="151">
    <w:name w:val="et34"/>
    <w:basedOn w:val="1"/>
    <w:autoRedefine/>
    <w:qFormat/>
    <w:uiPriority w:val="0"/>
    <w:pPr>
      <w:widowControl/>
      <w:pBdr>
        <w:left w:val="single" w:color="000000" w:sz="4" w:space="0"/>
        <w:right w:val="single" w:color="000000" w:sz="4" w:space="0"/>
      </w:pBdr>
      <w:spacing w:before="100" w:beforeAutospacing="1" w:after="100" w:afterAutospacing="1" w:line="240" w:lineRule="auto"/>
      <w:ind w:firstLine="0" w:firstLineChars="0"/>
      <w:jc w:val="left"/>
    </w:pPr>
    <w:rPr>
      <w:rFonts w:ascii="仿宋_GB2312" w:hAnsi="宋体" w:cs="宋体"/>
      <w:kern w:val="0"/>
      <w:sz w:val="20"/>
      <w:szCs w:val="20"/>
    </w:rPr>
  </w:style>
  <w:style w:type="paragraph" w:customStyle="1" w:styleId="152">
    <w:name w:val="et3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153">
    <w:name w:val="et36"/>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4">
    <w:name w:val="et3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5">
    <w:name w:val="样式21"/>
    <w:basedOn w:val="17"/>
    <w:autoRedefine/>
    <w:qFormat/>
    <w:uiPriority w:val="0"/>
    <w:pPr>
      <w:pBdr>
        <w:bottom w:val="none" w:color="auto" w:sz="0" w:space="0"/>
      </w:pBdr>
      <w:ind w:firstLine="360"/>
    </w:pPr>
  </w:style>
  <w:style w:type="paragraph" w:customStyle="1" w:styleId="156">
    <w:name w:val="样式22"/>
    <w:basedOn w:val="17"/>
    <w:autoRedefine/>
    <w:qFormat/>
    <w:uiPriority w:val="0"/>
    <w:pPr>
      <w:pBdr>
        <w:bottom w:val="none" w:color="auto" w:sz="0" w:space="0"/>
      </w:pBdr>
      <w:ind w:firstLine="360"/>
    </w:pPr>
  </w:style>
  <w:style w:type="character" w:customStyle="1" w:styleId="157">
    <w:name w:val="明显强调1"/>
    <w:basedOn w:val="28"/>
    <w:autoRedefine/>
    <w:qFormat/>
    <w:uiPriority w:val="21"/>
    <w:rPr>
      <w:i/>
      <w:iCs/>
      <w:color w:val="4472C4" w:themeColor="accent1"/>
      <w14:textFill>
        <w14:solidFill>
          <w14:schemeClr w14:val="accent1"/>
        </w14:solidFill>
      </w14:textFill>
    </w:rPr>
  </w:style>
  <w:style w:type="character" w:customStyle="1" w:styleId="158">
    <w:name w:val="表格 字符"/>
    <w:basedOn w:val="28"/>
    <w:link w:val="57"/>
    <w:autoRedefine/>
    <w:qFormat/>
    <w:uiPriority w:val="0"/>
    <w:rPr>
      <w:rFonts w:eastAsia="仿宋"/>
      <w:kern w:val="2"/>
      <w:sz w:val="24"/>
      <w:szCs w:val="24"/>
    </w:rPr>
  </w:style>
  <w:style w:type="paragraph" w:customStyle="1" w:styleId="159">
    <w:name w:val="样式23"/>
    <w:basedOn w:val="17"/>
    <w:autoRedefine/>
    <w:qFormat/>
    <w:uiPriority w:val="0"/>
    <w:pPr>
      <w:pBdr>
        <w:bottom w:val="none" w:color="auto" w:sz="0" w:space="0"/>
      </w:pBdr>
      <w:ind w:firstLine="360"/>
    </w:pPr>
  </w:style>
  <w:style w:type="paragraph" w:customStyle="1" w:styleId="160">
    <w:name w:val="样式24"/>
    <w:basedOn w:val="17"/>
    <w:autoRedefine/>
    <w:qFormat/>
    <w:uiPriority w:val="0"/>
    <w:pPr>
      <w:pBdr>
        <w:bottom w:val="none" w:color="auto" w:sz="0" w:space="0"/>
      </w:pBdr>
      <w:ind w:firstLine="360"/>
    </w:pPr>
  </w:style>
  <w:style w:type="character" w:customStyle="1" w:styleId="161">
    <w:name w:val="未处理的提及2"/>
    <w:basedOn w:val="28"/>
    <w:autoRedefine/>
    <w:semiHidden/>
    <w:unhideWhenUsed/>
    <w:qFormat/>
    <w:uiPriority w:val="99"/>
    <w:rPr>
      <w:color w:val="605E5C"/>
      <w:shd w:val="clear" w:color="auto" w:fill="E1DFDD"/>
    </w:rPr>
  </w:style>
  <w:style w:type="paragraph" w:customStyle="1" w:styleId="162">
    <w:name w:val="目录 12"/>
    <w:basedOn w:val="1"/>
    <w:next w:val="1"/>
    <w:autoRedefine/>
    <w:qFormat/>
    <w:uiPriority w:val="0"/>
    <w:pPr>
      <w:spacing w:line="240" w:lineRule="auto"/>
      <w:ind w:firstLine="0" w:firstLineChars="0"/>
      <w:jc w:val="left"/>
    </w:pPr>
    <w:rPr>
      <w:rFonts w:eastAsia="宋体"/>
      <w:b/>
      <w:bCs/>
      <w:caps/>
      <w:sz w:val="20"/>
      <w:szCs w:val="20"/>
    </w:rPr>
  </w:style>
  <w:style w:type="paragraph" w:customStyle="1" w:styleId="163">
    <w:name w:val="列出段落"/>
    <w:basedOn w:val="1"/>
    <w:autoRedefine/>
    <w:qFormat/>
    <w:uiPriority w:val="34"/>
    <w:pPr>
      <w:spacing w:line="240" w:lineRule="auto"/>
      <w:ind w:firstLine="420"/>
    </w:pPr>
    <w:rPr>
      <w:rFonts w:eastAsia="宋体"/>
      <w:sz w:val="21"/>
      <w:szCs w:val="21"/>
    </w:rPr>
  </w:style>
  <w:style w:type="paragraph" w:customStyle="1" w:styleId="164">
    <w:name w:val="样式25"/>
    <w:basedOn w:val="17"/>
    <w:autoRedefine/>
    <w:qFormat/>
    <w:uiPriority w:val="0"/>
    <w:pPr>
      <w:pBdr>
        <w:bottom w:val="none" w:color="auto" w:sz="0" w:space="0"/>
      </w:pBdr>
      <w:ind w:firstLine="360"/>
    </w:pPr>
  </w:style>
  <w:style w:type="paragraph" w:customStyle="1" w:styleId="165">
    <w:name w:val="样式26"/>
    <w:basedOn w:val="17"/>
    <w:autoRedefine/>
    <w:qFormat/>
    <w:uiPriority w:val="0"/>
    <w:pPr>
      <w:pBdr>
        <w:bottom w:val="none" w:color="auto" w:sz="0" w:space="0"/>
      </w:pBdr>
      <w:ind w:firstLine="360"/>
    </w:pPr>
  </w:style>
  <w:style w:type="paragraph" w:customStyle="1" w:styleId="166">
    <w:name w:val="样式27"/>
    <w:basedOn w:val="17"/>
    <w:autoRedefine/>
    <w:qFormat/>
    <w:uiPriority w:val="0"/>
    <w:pPr>
      <w:pBdr>
        <w:bottom w:val="none" w:color="auto" w:sz="0" w:space="0"/>
      </w:pBdr>
      <w:ind w:firstLine="360"/>
    </w:pPr>
  </w:style>
  <w:style w:type="paragraph" w:customStyle="1" w:styleId="167">
    <w:name w:val="样式28"/>
    <w:basedOn w:val="17"/>
    <w:uiPriority w:val="0"/>
    <w:pPr>
      <w:pBdr>
        <w:bottom w:val="none" w:color="auto" w:sz="0" w:space="0"/>
      </w:pBdr>
      <w:ind w:firstLine="360"/>
    </w:pPr>
  </w:style>
  <w:style w:type="paragraph" w:customStyle="1" w:styleId="168">
    <w:name w:val="样式29"/>
    <w:basedOn w:val="17"/>
    <w:uiPriority w:val="0"/>
    <w:pPr>
      <w:pBdr>
        <w:bottom w:val="none" w:color="auto" w:sz="0" w:space="0"/>
      </w:pBdr>
      <w:ind w:firstLine="360"/>
    </w:pPr>
  </w:style>
  <w:style w:type="paragraph" w:customStyle="1" w:styleId="169">
    <w:name w:val="样式30"/>
    <w:basedOn w:val="17"/>
    <w:qFormat/>
    <w:uiPriority w:val="0"/>
    <w:pPr>
      <w:pBdr>
        <w:bottom w:val="none" w:color="auto" w:sz="0" w:space="0"/>
      </w:pBdr>
      <w:ind w:firstLine="360"/>
    </w:pPr>
  </w:style>
  <w:style w:type="paragraph" w:customStyle="1" w:styleId="170">
    <w:name w:val="样式31"/>
    <w:basedOn w:val="17"/>
    <w:autoRedefine/>
    <w:qFormat/>
    <w:uiPriority w:val="0"/>
    <w:pPr>
      <w:pBdr>
        <w:bottom w:val="none" w:color="auto" w:sz="0" w:space="0"/>
      </w:pBdr>
      <w:ind w:firstLine="36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986F-1964-4652-8128-5EF6EB9028F8}">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14157</Words>
  <Characters>80695</Characters>
  <Lines>672</Lines>
  <Paragraphs>189</Paragraphs>
  <TotalTime>416</TotalTime>
  <ScaleCrop>false</ScaleCrop>
  <LinksUpToDate>false</LinksUpToDate>
  <CharactersWithSpaces>94663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2023-12-18T02:08:00Z</dcterms:created>
  <dc:creator>Administrator</dc:creator>
  <cp:lastModifiedBy>WPS_1661736212</cp:lastModifiedBy>
  <cp:lastPrinted>2023-12-19T03:26:00Z</cp:lastPrinted>
  <dcterms:modified xsi:type="dcterms:W3CDTF">2024-01-16T07:08:57Z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3034ACFC8D034F019338B44640B2CEEC_12</vt:lpwstr>
  </property>
</Properties>
</file>