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民办学校招生简章和广告备案</w:t>
      </w:r>
    </w:p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事中事后监管细则</w:t>
      </w:r>
    </w:p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30"/>
          <w:szCs w:val="30"/>
        </w:rPr>
        <w:t>（其他权力</w:t>
      </w:r>
      <w:r>
        <w:rPr>
          <w:rFonts w:ascii="宋体" w:hAnsi="宋体"/>
          <w:sz w:val="30"/>
          <w:szCs w:val="30"/>
        </w:rPr>
        <w:t>）</w:t>
      </w:r>
    </w:p>
    <w:p>
      <w:pPr>
        <w:spacing w:line="560" w:lineRule="exact"/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为深入推进简政放权、放管结合、优化服务，加强民办学校招生简章和广告备案事中事后监管工作，规范行政行为，根据相关法律法规和《安徽省政府权力运行监督管理办法》，制定本监管细则。</w:t>
      </w:r>
    </w:p>
    <w:p>
      <w:pPr>
        <w:spacing w:line="56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一、监管任务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休宁县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教育局依法依规、公开透明、规范运行、创新管理的原则，通过对民办学校招生简章和广告备案事中事后监管措施，规范招生行为，确保民办学校健康发展。</w:t>
      </w:r>
    </w:p>
    <w:p>
      <w:pPr>
        <w:spacing w:line="56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二、监管措施</w:t>
      </w:r>
    </w:p>
    <w:p>
      <w:pPr>
        <w:spacing w:line="560" w:lineRule="exact"/>
        <w:ind w:firstLine="480" w:firstLineChars="15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（一）流程监管</w:t>
      </w: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1.加强权力运行流程监管。落实受理、审查和决定、送达、事后监管等阶段应履行的权责事项，规范权力运行流程，强化全程标准化监管。</w:t>
      </w: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2.规范受理工作。符合受理条件的，依法受理；需要补正材料的，一次性告知；不属于备案范围的，不予受理。</w:t>
      </w: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3.强化廉政风险防控。主要对现场检查、材料审查、项目许可等廉政风险点进行管理，强化权力运行制约监督。</w:t>
      </w:r>
    </w:p>
    <w:p>
      <w:pPr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4.做出审核或备案决定。申请材料齐全、符合法定形式的，3个工作日内作出同意备案决定。</w:t>
      </w:r>
    </w:p>
    <w:p>
      <w:pPr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5.及时做好送达工作。按规定制作并送达批文，并做到信息公开（不予批准的应当告知理由）。</w:t>
      </w:r>
    </w:p>
    <w:p>
      <w:pPr>
        <w:spacing w:line="560" w:lineRule="exact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（二）监督检查</w:t>
      </w:r>
    </w:p>
    <w:p>
      <w:pPr>
        <w:spacing w:line="560" w:lineRule="exact"/>
        <w:ind w:firstLine="645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1.对申请许可的项目进行材料审查。列明审查材料目录，明确审查的重点内容，主要是合规性、有效性及是否齐全。</w:t>
      </w:r>
    </w:p>
    <w:p>
      <w:pPr>
        <w:spacing w:line="560" w:lineRule="exact"/>
        <w:ind w:firstLine="645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2.申请学校在广告发布后一周内，将广告样刊送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教育局法治股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留存备查。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法治股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对发布的招生简章和广告的内容进行审查，看是否与审核的内容一致，并将备案表和广告样刊存档。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 （三）协同监管。</w:t>
      </w:r>
      <w:r>
        <w:rPr>
          <w:rFonts w:hint="eastAsia" w:ascii="仿宋_GB2312" w:eastAsia="仿宋_GB2312"/>
          <w:sz w:val="32"/>
          <w:szCs w:val="32"/>
        </w:rPr>
        <w:t>各民办学校和民办非学历教育机构的招生简章和广告必须经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教育局审核后方可发布。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教育局会同宣传、市场监督管理部门对各校的招生简章和广告进行核查。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（四）违规处理。</w:t>
      </w:r>
      <w:r>
        <w:rPr>
          <w:rFonts w:hint="eastAsia" w:ascii="仿宋_GB2312" w:eastAsia="仿宋_GB2312"/>
          <w:sz w:val="32"/>
          <w:szCs w:val="32"/>
        </w:rPr>
        <w:t>对发布未经备案或擅自变更已备案的招生简章广告内容的民办学校，会同有关部门进行处罚，情节严重者责令停止招生、吊销办学许可证。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三、责任追究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（一）加强监督。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教育局对基础教育股的授权事项进行监督，对是否履行监管责任进行监督问责。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（二）加强人员监督。</w:t>
      </w:r>
      <w:r>
        <w:rPr>
          <w:rFonts w:hint="eastAsia" w:ascii="仿宋_GB2312" w:eastAsia="仿宋_GB2312"/>
          <w:sz w:val="32"/>
          <w:szCs w:val="32"/>
        </w:rPr>
        <w:t>重点监督有关人员是否履行职责，对不作为、乱作为情况，按规定进行监督问责。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（三）建立责任追究机制。</w:t>
      </w:r>
      <w:r>
        <w:rPr>
          <w:rFonts w:hint="eastAsia" w:ascii="楷体_GB2312" w:eastAsia="楷体_GB2312"/>
          <w:sz w:val="32"/>
          <w:szCs w:val="32"/>
        </w:rPr>
        <w:t>依据有关法律</w:t>
      </w:r>
      <w:r>
        <w:rPr>
          <w:rFonts w:hint="eastAsia" w:ascii="仿宋_GB2312" w:eastAsia="仿宋_GB2312"/>
          <w:sz w:val="32"/>
          <w:szCs w:val="32"/>
        </w:rPr>
        <w:t>法规和《</w:t>
      </w:r>
      <w:r>
        <w:rPr>
          <w:rFonts w:hint="eastAsia" w:ascii="仿宋_GB2312" w:eastAsia="仿宋_GB2312"/>
          <w:sz w:val="32"/>
          <w:szCs w:val="32"/>
          <w:lang w:eastAsia="zh-CN"/>
        </w:rPr>
        <w:t>休宁县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教育局行政权力清单和责任清单》，实行过错责任追究，根据过错责任的大小实施的追究方式。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（四）强化对行政权力行使人的监管。</w:t>
      </w:r>
      <w:r>
        <w:rPr>
          <w:rFonts w:hint="eastAsia" w:ascii="仿宋_GB2312" w:eastAsia="仿宋_GB2312"/>
          <w:sz w:val="32"/>
          <w:szCs w:val="32"/>
        </w:rPr>
        <w:t>制定和执行规范的权力运行流程和标准，严格依照规定运行权力。</w:t>
      </w:r>
    </w:p>
    <w:p>
      <w:pPr>
        <w:spacing w:line="560" w:lineRule="exact"/>
        <w:ind w:firstLine="643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（五）加强对公职人员的问责。</w:t>
      </w:r>
      <w:r>
        <w:rPr>
          <w:rFonts w:hint="eastAsia" w:ascii="仿宋_GB2312" w:eastAsia="仿宋_GB2312"/>
          <w:sz w:val="32"/>
          <w:szCs w:val="32"/>
        </w:rPr>
        <w:t>国家工作人员不履行法定职责、超越或者滥用法定职权的，依法给予行政处分，构成犯罪的，依法追究刑事责任。</w:t>
      </w:r>
    </w:p>
    <w:p>
      <w:pPr>
        <w:spacing w:line="560" w:lineRule="exact"/>
        <w:ind w:firstLine="643" w:firstLineChars="200"/>
        <w:jc w:val="left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四、保障措施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（一）加强事中事后监管，彻底解决“重申批轻监管”的问题。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（二）加强组织协调。强化组织领导，健全协调机制，落实监管措施，确保事中事后监管工作有序推进。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（三）强化人员培训。加强对经办人员有关法律、法规、标准和专业知识与执法能力培训，提高办事人员素质。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五、主要依据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ascii="仿宋_GB2312" w:eastAsia="仿宋_GB2312"/>
          <w:sz w:val="32"/>
          <w:szCs w:val="32"/>
        </w:rPr>
        <w:t>《</w:t>
      </w:r>
      <w:r>
        <w:fldChar w:fldCharType="begin"/>
      </w:r>
      <w:r>
        <w:instrText xml:space="preserve"> HYPERLINK "http://baike.baidu.com/view/72500.htm" \t "_blank"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中华人民共和国教育法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主席令8届第45号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（二）《</w:t>
      </w:r>
      <w:r>
        <w:rPr>
          <w:rFonts w:ascii="仿宋_GB2312" w:eastAsia="仿宋_GB2312"/>
          <w:sz w:val="32"/>
          <w:szCs w:val="32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民办教育促进法》（</w:t>
      </w:r>
      <w:r>
        <w:rPr>
          <w:rFonts w:ascii="仿宋_GB2312" w:eastAsia="仿宋_GB2312"/>
          <w:sz w:val="32"/>
          <w:szCs w:val="32"/>
        </w:rPr>
        <w:t>主席令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届第</w:t>
      </w:r>
      <w:r>
        <w:rPr>
          <w:rFonts w:hint="eastAsia" w:ascii="仿宋_GB2312" w:eastAsia="仿宋_GB2312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（三）《</w:t>
      </w:r>
      <w:r>
        <w:rPr>
          <w:rFonts w:ascii="仿宋_GB2312" w:eastAsia="仿宋_GB2312"/>
          <w:sz w:val="32"/>
          <w:szCs w:val="32"/>
        </w:rPr>
        <w:t>中华人民共和国</w:t>
      </w:r>
      <w:r>
        <w:rPr>
          <w:rFonts w:hint="eastAsia" w:ascii="仿宋_GB2312" w:eastAsia="仿宋_GB2312"/>
          <w:sz w:val="32"/>
          <w:szCs w:val="32"/>
        </w:rPr>
        <w:t>民办教育促进法实施条例》（国务院</w:t>
      </w:r>
      <w:r>
        <w:rPr>
          <w:rFonts w:ascii="仿宋_GB2312" w:eastAsia="仿宋_GB2312"/>
          <w:sz w:val="32"/>
          <w:szCs w:val="32"/>
        </w:rPr>
        <w:t>令第</w:t>
      </w:r>
      <w:r>
        <w:rPr>
          <w:rFonts w:hint="eastAsia" w:ascii="仿宋_GB2312" w:eastAsia="仿宋_GB2312"/>
          <w:sz w:val="32"/>
          <w:szCs w:val="32"/>
        </w:rPr>
        <w:t>399</w:t>
      </w:r>
      <w:r>
        <w:rPr>
          <w:rFonts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（四）《安徽省教育厅安徽省工商行政管理局关于印发〈安徽省招生广告管理暂行办法〉的通知》（教办〔2002〕5号）</w:t>
      </w:r>
    </w:p>
    <w:p>
      <w:pPr>
        <w:spacing w:line="560" w:lineRule="exact"/>
        <w:jc w:val="center"/>
        <w:rPr>
          <w:rFonts w:ascii="宋体" w:hAnsi="宋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22"/>
    <w:rsid w:val="00191131"/>
    <w:rsid w:val="00193174"/>
    <w:rsid w:val="00235922"/>
    <w:rsid w:val="005C25BC"/>
    <w:rsid w:val="00C712C9"/>
    <w:rsid w:val="00F5648C"/>
    <w:rsid w:val="00FF2493"/>
    <w:rsid w:val="0DE4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219</Words>
  <Characters>1250</Characters>
  <Lines>10</Lines>
  <Paragraphs>2</Paragraphs>
  <TotalTime>8</TotalTime>
  <ScaleCrop>false</ScaleCrop>
  <LinksUpToDate>false</LinksUpToDate>
  <CharactersWithSpaces>1467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2021-01-18T11:04:00Z</dcterms:created>
  <dc:creator>洪  蕾</dc:creator>
  <cp:lastModifiedBy>Anonymous</cp:lastModifiedBy>
  <dcterms:modified xsi:type="dcterms:W3CDTF">2021-07-27T02:20:36Z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863ADA5F816E431ABC413E8811409D73</vt:lpwstr>
  </property>
</Properties>
</file>