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hint="eastAsia" w:ascii="方正黑体_GBK" w:eastAsia="方正黑体_GBK"/>
          <w:sz w:val="44"/>
          <w:szCs w:val="44"/>
        </w:rPr>
        <w:t>休宁县政府重大行政目录（2021版）（征求意见稿）</w:t>
      </w:r>
    </w:p>
    <w:tbl>
      <w:tblPr>
        <w:tblStyle w:val="8"/>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77"/>
        <w:gridCol w:w="5386"/>
        <w:gridCol w:w="2410"/>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blHeader/>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386"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8"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w:t>
            </w:r>
          </w:p>
        </w:tc>
        <w:tc>
          <w:tcPr>
            <w:tcW w:w="2977" w:type="dxa"/>
            <w:vAlign w:val="center"/>
          </w:tcPr>
          <w:p>
            <w:pPr>
              <w:rPr>
                <w:rFonts w:cs="Times New Roman" w:asciiTheme="minorEastAsia" w:hAnsiTheme="minorEastAsia"/>
                <w:sz w:val="28"/>
                <w:szCs w:val="28"/>
              </w:rPr>
            </w:pPr>
            <w:r>
              <w:rPr>
                <w:rFonts w:cs="Times New Roman" w:asciiTheme="minorEastAsia" w:hAnsiTheme="minorEastAsia"/>
                <w:sz w:val="28"/>
                <w:szCs w:val="28"/>
              </w:rPr>
              <w:t>制定有关公共服务、市场监管、社会管理、</w:t>
            </w:r>
            <w:r>
              <w:rPr>
                <w:rFonts w:hint="eastAsia" w:cs="Times New Roman" w:asciiTheme="minorEastAsia" w:hAnsiTheme="minorEastAsia"/>
                <w:sz w:val="28"/>
                <w:szCs w:val="28"/>
              </w:rPr>
              <w:t>生态</w:t>
            </w:r>
            <w:r>
              <w:rPr>
                <w:rFonts w:cs="Times New Roman" w:asciiTheme="minorEastAsia" w:hAnsiTheme="minorEastAsia"/>
                <w:sz w:val="28"/>
                <w:szCs w:val="28"/>
              </w:rPr>
              <w:t>环境保护等方面的重大公共政策和措施</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制定有关教育、科学技术、文化旅游体育、医疗卫生、食品药品安全、社会保险、社会救助、公共法律服务、养老、劳动保护、就业促进、住房保障等发展与改革的重大公共政策和措施</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县教育局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县科技商务经济信息化局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县文化旅游体育局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县卫健委</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县医疗保障局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县民政局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县司法局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县市场监管局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县人社局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等有关部门</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县教育局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县科技商务经济信息化局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县文化旅游体育局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县卫健委</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县医疗保障局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县民政局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县司法局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县市场监管局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县人社局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等有关部门</w:t>
            </w:r>
          </w:p>
        </w:tc>
      </w:tr>
    </w:tbl>
    <w:p/>
    <w:tbl>
      <w:tblPr>
        <w:tblStyle w:val="8"/>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77"/>
        <w:gridCol w:w="5386"/>
        <w:gridCol w:w="2410"/>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386"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0"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w:t>
            </w:r>
          </w:p>
        </w:tc>
        <w:tc>
          <w:tcPr>
            <w:tcW w:w="2977" w:type="dxa"/>
            <w:vMerge w:val="restart"/>
            <w:vAlign w:val="center"/>
          </w:tcPr>
          <w:p>
            <w:pPr>
              <w:rPr>
                <w:rFonts w:cs="Times New Roman" w:asciiTheme="minorEastAsia" w:hAnsiTheme="minorEastAsia"/>
                <w:sz w:val="24"/>
                <w:szCs w:val="24"/>
              </w:rPr>
            </w:pPr>
            <w:r>
              <w:rPr>
                <w:rFonts w:cs="Times New Roman" w:asciiTheme="minorEastAsia" w:hAnsiTheme="minorEastAsia"/>
                <w:sz w:val="28"/>
                <w:szCs w:val="28"/>
              </w:rPr>
              <w:t>制定有关公共服务、市场监管、社会管理、</w:t>
            </w:r>
            <w:r>
              <w:rPr>
                <w:rFonts w:hint="eastAsia" w:cs="Times New Roman" w:asciiTheme="minorEastAsia" w:hAnsiTheme="minorEastAsia"/>
                <w:sz w:val="28"/>
                <w:szCs w:val="28"/>
              </w:rPr>
              <w:t>生态</w:t>
            </w:r>
            <w:r>
              <w:rPr>
                <w:rFonts w:cs="Times New Roman" w:asciiTheme="minorEastAsia" w:hAnsiTheme="minorEastAsia"/>
                <w:sz w:val="28"/>
                <w:szCs w:val="28"/>
              </w:rPr>
              <w:t>环境保护等方面的重大公共政策和措施</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制定有关外事、资源配置、生态环境保护、治安管理、交通管理、城市管理、安全生产、城乡建设、乡村振兴、数据资源等管理服务的重大公共政策和措施</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县政府办</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p>
            <w:pPr>
              <w:jc w:val="center"/>
              <w:rPr>
                <w:rFonts w:cs="Times New Roman" w:asciiTheme="minorEastAsia" w:hAnsiTheme="minorEastAsia"/>
                <w:sz w:val="24"/>
                <w:szCs w:val="24"/>
              </w:rPr>
            </w:pPr>
            <w:r>
              <w:rPr>
                <w:rFonts w:hint="eastAsia" w:cs="Times New Roman" w:asciiTheme="minorEastAsia" w:hAnsiTheme="minorEastAsia"/>
                <w:sz w:val="24"/>
                <w:szCs w:val="24"/>
              </w:rPr>
              <w:t>休宁生态环境分局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县公安局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县交运局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县应急管理局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县乡村振兴局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县数据资源管理局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等有关部门</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县政府办</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p>
            <w:pPr>
              <w:jc w:val="center"/>
              <w:rPr>
                <w:rFonts w:cs="Times New Roman" w:asciiTheme="minorEastAsia" w:hAnsiTheme="minorEastAsia"/>
                <w:sz w:val="24"/>
                <w:szCs w:val="24"/>
              </w:rPr>
            </w:pPr>
            <w:r>
              <w:rPr>
                <w:rFonts w:hint="eastAsia" w:cs="Times New Roman" w:asciiTheme="minorEastAsia" w:hAnsiTheme="minorEastAsia"/>
                <w:sz w:val="24"/>
                <w:szCs w:val="24"/>
              </w:rPr>
              <w:t>休宁生态环境分局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县公安局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县交运局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县应急管理局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县乡村振兴局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县数据资源管理局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等有关部门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7"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3</w:t>
            </w:r>
          </w:p>
        </w:tc>
        <w:tc>
          <w:tcPr>
            <w:tcW w:w="2977" w:type="dxa"/>
            <w:vMerge w:val="continue"/>
            <w:vAlign w:val="center"/>
          </w:tcPr>
          <w:p>
            <w:pPr>
              <w:rPr>
                <w:rFonts w:cs="Times New Roman" w:asciiTheme="minorEastAsia" w:hAnsiTheme="minorEastAsia"/>
                <w:sz w:val="24"/>
                <w:szCs w:val="24"/>
              </w:rPr>
            </w:pP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制定或者调整政府定价、政府指导价等公用事业价格的重大公共政策和措施</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tc>
      </w:tr>
    </w:tbl>
    <w:p/>
    <w:tbl>
      <w:tblPr>
        <w:tblStyle w:val="8"/>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77"/>
        <w:gridCol w:w="5245"/>
        <w:gridCol w:w="2551"/>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245"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551"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1"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4</w:t>
            </w:r>
          </w:p>
        </w:tc>
        <w:tc>
          <w:tcPr>
            <w:tcW w:w="2977" w:type="dxa"/>
            <w:vMerge w:val="restart"/>
            <w:vAlign w:val="center"/>
          </w:tcPr>
          <w:p>
            <w:pPr>
              <w:rPr>
                <w:rFonts w:cs="Times New Roman" w:asciiTheme="minorEastAsia" w:hAnsiTheme="minorEastAsia"/>
                <w:sz w:val="24"/>
                <w:szCs w:val="24"/>
              </w:rPr>
            </w:pPr>
            <w:r>
              <w:rPr>
                <w:rFonts w:cs="Times New Roman" w:asciiTheme="minorEastAsia" w:hAnsiTheme="minorEastAsia"/>
                <w:sz w:val="28"/>
                <w:szCs w:val="28"/>
              </w:rPr>
              <w:t>制定有关公共服务、市场监管、社会管理、</w:t>
            </w:r>
            <w:r>
              <w:rPr>
                <w:rFonts w:hint="eastAsia" w:cs="Times New Roman" w:asciiTheme="minorEastAsia" w:hAnsiTheme="minorEastAsia"/>
                <w:sz w:val="28"/>
                <w:szCs w:val="28"/>
              </w:rPr>
              <w:t>生态</w:t>
            </w:r>
            <w:r>
              <w:rPr>
                <w:rFonts w:cs="Times New Roman" w:asciiTheme="minorEastAsia" w:hAnsiTheme="minorEastAsia"/>
                <w:sz w:val="28"/>
                <w:szCs w:val="28"/>
              </w:rPr>
              <w:t>环境保护等方面的重大公共政策和措施</w:t>
            </w:r>
          </w:p>
        </w:tc>
        <w:tc>
          <w:tcPr>
            <w:tcW w:w="5245"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奖补政策：包括对全县工业经济、农业经济、民营经济等可能带来重大影响的政府奖补政策</w:t>
            </w:r>
          </w:p>
        </w:tc>
        <w:tc>
          <w:tcPr>
            <w:tcW w:w="2551" w:type="dxa"/>
            <w:vAlign w:val="center"/>
          </w:tcPr>
          <w:p>
            <w:pPr>
              <w:jc w:val="center"/>
              <w:rPr>
                <w:rFonts w:hint="eastAsia" w:cs="Times New Roman" w:asciiTheme="minorEastAsia" w:hAnsiTheme="minorEastAsia"/>
                <w:sz w:val="24"/>
                <w:szCs w:val="24"/>
              </w:rPr>
            </w:pPr>
            <w:r>
              <w:rPr>
                <w:rFonts w:hint="eastAsia" w:cs="Times New Roman" w:asciiTheme="minorEastAsia" w:hAnsiTheme="minorEastAsia"/>
                <w:sz w:val="24"/>
                <w:szCs w:val="24"/>
              </w:rPr>
              <w:t>县科技商务经济信息化局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县农业农村水利局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县投资促进局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等有关部门</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县科技商务经济信息化局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县农业农村水利局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县投资促进局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等有关部门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7"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5</w:t>
            </w:r>
          </w:p>
        </w:tc>
        <w:tc>
          <w:tcPr>
            <w:tcW w:w="2977" w:type="dxa"/>
            <w:vMerge w:val="continue"/>
          </w:tcPr>
          <w:p>
            <w:pPr>
              <w:rPr>
                <w:rFonts w:cs="Times New Roman" w:asciiTheme="minorEastAsia" w:hAnsiTheme="minorEastAsia"/>
                <w:sz w:val="24"/>
                <w:szCs w:val="24"/>
              </w:rPr>
            </w:pPr>
          </w:p>
        </w:tc>
        <w:tc>
          <w:tcPr>
            <w:tcW w:w="5245"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行政管理体制改革、区域协调发展的重大措施</w:t>
            </w:r>
          </w:p>
        </w:tc>
        <w:tc>
          <w:tcPr>
            <w:tcW w:w="2551"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县委编办</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县委编办</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0" w:hRule="atLeast"/>
        </w:trPr>
        <w:tc>
          <w:tcPr>
            <w:tcW w:w="817" w:type="dxa"/>
            <w:vAlign w:val="center"/>
          </w:tcPr>
          <w:p>
            <w:pPr>
              <w:jc w:val="center"/>
              <w:rPr>
                <w:rFonts w:cs="Times New Roman" w:asciiTheme="minorEastAsia" w:hAnsiTheme="minorEastAsia"/>
                <w:sz w:val="28"/>
                <w:szCs w:val="28"/>
              </w:rPr>
            </w:pPr>
            <w:r>
              <w:rPr>
                <w:rFonts w:hint="eastAsia" w:cs="Times New Roman" w:asciiTheme="minorEastAsia" w:hAnsiTheme="minorEastAsia"/>
                <w:sz w:val="24"/>
                <w:szCs w:val="24"/>
              </w:rPr>
              <w:t>6</w:t>
            </w:r>
          </w:p>
        </w:tc>
        <w:tc>
          <w:tcPr>
            <w:tcW w:w="2977" w:type="dxa"/>
            <w:vMerge w:val="restart"/>
            <w:vAlign w:val="center"/>
          </w:tcPr>
          <w:p>
            <w:pPr>
              <w:rPr>
                <w:rFonts w:cs="Times New Roman" w:asciiTheme="minorEastAsia" w:hAnsiTheme="minorEastAsia"/>
                <w:sz w:val="28"/>
                <w:szCs w:val="28"/>
              </w:rPr>
            </w:pPr>
            <w:r>
              <w:rPr>
                <w:rFonts w:hint="eastAsia" w:cs="Times New Roman" w:asciiTheme="minorEastAsia" w:hAnsiTheme="minorEastAsia"/>
                <w:sz w:val="28"/>
                <w:szCs w:val="28"/>
              </w:rPr>
              <w:t>制定经济和社会发展等方面的重要规划</w:t>
            </w:r>
          </w:p>
        </w:tc>
        <w:tc>
          <w:tcPr>
            <w:tcW w:w="5245"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国民经济和社会发展五年规划、年度计划、财政预决算草案和财政预算的调整方案</w:t>
            </w:r>
          </w:p>
        </w:tc>
        <w:tc>
          <w:tcPr>
            <w:tcW w:w="2551"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8"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7</w:t>
            </w:r>
          </w:p>
        </w:tc>
        <w:tc>
          <w:tcPr>
            <w:tcW w:w="2977" w:type="dxa"/>
            <w:vMerge w:val="continue"/>
            <w:vAlign w:val="center"/>
          </w:tcPr>
          <w:p>
            <w:pPr>
              <w:rPr>
                <w:rFonts w:cs="Times New Roman" w:asciiTheme="minorEastAsia" w:hAnsiTheme="minorEastAsia"/>
                <w:sz w:val="28"/>
                <w:szCs w:val="28"/>
              </w:rPr>
            </w:pPr>
          </w:p>
        </w:tc>
        <w:tc>
          <w:tcPr>
            <w:tcW w:w="5245"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重大财政资金安排：包括追加财政资金额在100 万元以上；关系群众切身利益且涉及面广、政策性强的项目资金安排</w:t>
            </w:r>
          </w:p>
        </w:tc>
        <w:tc>
          <w:tcPr>
            <w:tcW w:w="2551"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tc>
      </w:tr>
    </w:tbl>
    <w:p/>
    <w:tbl>
      <w:tblPr>
        <w:tblStyle w:val="8"/>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77"/>
        <w:gridCol w:w="5386"/>
        <w:gridCol w:w="2410"/>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386"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2"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8</w:t>
            </w:r>
          </w:p>
        </w:tc>
        <w:tc>
          <w:tcPr>
            <w:tcW w:w="2977" w:type="dxa"/>
            <w:vMerge w:val="restart"/>
            <w:vAlign w:val="center"/>
          </w:tcPr>
          <w:p>
            <w:pPr>
              <w:rPr>
                <w:rFonts w:cs="Times New Roman" w:asciiTheme="minorEastAsia" w:hAnsiTheme="minorEastAsia"/>
                <w:sz w:val="24"/>
                <w:szCs w:val="24"/>
              </w:rPr>
            </w:pPr>
            <w:r>
              <w:rPr>
                <w:rFonts w:hint="eastAsia" w:cs="Times New Roman" w:asciiTheme="minorEastAsia" w:hAnsiTheme="minorEastAsia"/>
                <w:sz w:val="28"/>
                <w:szCs w:val="28"/>
              </w:rPr>
              <w:t>制定经济和社会发展等方面的重要规划</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国土空间规划、控制性详细规划和专项规划，以及土地利用年度计划的编制和修改方案</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8"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9</w:t>
            </w:r>
          </w:p>
        </w:tc>
        <w:tc>
          <w:tcPr>
            <w:tcW w:w="2977" w:type="dxa"/>
            <w:vMerge w:val="continue"/>
            <w:vAlign w:val="center"/>
          </w:tcPr>
          <w:p>
            <w:pPr>
              <w:rPr>
                <w:rFonts w:cs="Times New Roman" w:asciiTheme="minorEastAsia" w:hAnsiTheme="minorEastAsia"/>
                <w:sz w:val="24"/>
                <w:szCs w:val="24"/>
              </w:rPr>
            </w:pP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主体功能区规划、国土空间规划、县域城镇体系规划的编制和修改方案</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3"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10</w:t>
            </w:r>
          </w:p>
        </w:tc>
        <w:tc>
          <w:tcPr>
            <w:tcW w:w="2977" w:type="dxa"/>
            <w:vMerge w:val="continue"/>
          </w:tcPr>
          <w:p>
            <w:pPr>
              <w:rPr>
                <w:rFonts w:cs="Times New Roman" w:asciiTheme="minorEastAsia" w:hAnsiTheme="minorEastAsia"/>
                <w:sz w:val="24"/>
                <w:szCs w:val="24"/>
              </w:rPr>
            </w:pP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本行政区域各类重点专项规划的编制和修改方案</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县直有关部门</w:t>
            </w:r>
          </w:p>
          <w:p>
            <w:pPr>
              <w:jc w:val="center"/>
              <w:rPr>
                <w:rFonts w:cs="Times New Roman" w:asciiTheme="minorEastAsia" w:hAnsiTheme="minorEastAsia"/>
                <w:sz w:val="24"/>
                <w:szCs w:val="24"/>
              </w:rPr>
            </w:pP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县直有关部门</w:t>
            </w:r>
          </w:p>
          <w:p>
            <w:pPr>
              <w:jc w:val="center"/>
              <w:rPr>
                <w:rFonts w:cs="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2"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11</w:t>
            </w:r>
          </w:p>
        </w:tc>
        <w:tc>
          <w:tcPr>
            <w:tcW w:w="2977" w:type="dxa"/>
            <w:vAlign w:val="center"/>
          </w:tcPr>
          <w:p>
            <w:pPr>
              <w:rPr>
                <w:rFonts w:cs="Times New Roman" w:asciiTheme="minorEastAsia" w:hAnsiTheme="minorEastAsia"/>
                <w:sz w:val="24"/>
                <w:szCs w:val="24"/>
              </w:rPr>
            </w:pPr>
            <w:r>
              <w:rPr>
                <w:rFonts w:hint="eastAsia" w:cs="Times New Roman" w:asciiTheme="minorEastAsia" w:hAnsiTheme="minorEastAsia"/>
                <w:sz w:val="28"/>
                <w:szCs w:val="28"/>
              </w:rPr>
              <w:t>制定开发利用、保护重要自然资源和文化资源的重大公共政策和措施</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制定开发利用、保护土地、矿产、森林、滩涂、水等各类重要自然资源的重大公共政策和措施</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县农业农村水利局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县林业局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县农业农村水利局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县林业局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386"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7"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12</w:t>
            </w:r>
          </w:p>
        </w:tc>
        <w:tc>
          <w:tcPr>
            <w:tcW w:w="2977" w:type="dxa"/>
            <w:vAlign w:val="center"/>
          </w:tcPr>
          <w:p>
            <w:pPr>
              <w:rPr>
                <w:rFonts w:cs="Times New Roman" w:asciiTheme="minorEastAsia" w:hAnsiTheme="minorEastAsia"/>
                <w:sz w:val="24"/>
                <w:szCs w:val="24"/>
              </w:rPr>
            </w:pPr>
            <w:r>
              <w:rPr>
                <w:rFonts w:hint="eastAsia" w:cs="Times New Roman" w:asciiTheme="minorEastAsia" w:hAnsiTheme="minorEastAsia"/>
                <w:sz w:val="28"/>
                <w:szCs w:val="28"/>
              </w:rPr>
              <w:t>制定开发利用、保护重要自然资源和文化资源的重大公共政策和措施</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制定开发利用、保护历史文化名城名镇名村、历史文化街区、传统村落和传统民居、特色景观、风景名胜区、自然保护地、新安医学等，以及各级各类博物馆、美术馆、图书馆、文化馆、群众艺术馆、纪念馆、非物质文化遗产保护中心等文化文物单位馆藏的各类重要文化资源的重大公共政策和措施</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县文化旅游体育局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县文化旅游体育局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7" w:hRule="atLeast"/>
        </w:trPr>
        <w:tc>
          <w:tcPr>
            <w:tcW w:w="817" w:type="dxa"/>
            <w:vAlign w:val="center"/>
          </w:tcPr>
          <w:p>
            <w:pPr>
              <w:jc w:val="center"/>
              <w:rPr>
                <w:rFonts w:cs="Times New Roman" w:asciiTheme="minorEastAsia" w:hAnsiTheme="minorEastAsia"/>
                <w:sz w:val="28"/>
                <w:szCs w:val="28"/>
              </w:rPr>
            </w:pPr>
            <w:r>
              <w:rPr>
                <w:rFonts w:hint="eastAsia" w:cs="Times New Roman" w:asciiTheme="minorEastAsia" w:hAnsiTheme="minorEastAsia"/>
                <w:sz w:val="28"/>
                <w:szCs w:val="28"/>
              </w:rPr>
              <w:t>13</w:t>
            </w:r>
          </w:p>
        </w:tc>
        <w:tc>
          <w:tcPr>
            <w:tcW w:w="2977" w:type="dxa"/>
            <w:vMerge w:val="restart"/>
            <w:vAlign w:val="center"/>
          </w:tcPr>
          <w:p>
            <w:pPr>
              <w:rPr>
                <w:rFonts w:cs="Times New Roman" w:asciiTheme="minorEastAsia" w:hAnsiTheme="minorEastAsia"/>
                <w:sz w:val="28"/>
                <w:szCs w:val="28"/>
              </w:rPr>
            </w:pPr>
            <w:r>
              <w:rPr>
                <w:rFonts w:hint="eastAsia" w:cs="Times New Roman" w:asciiTheme="minorEastAsia" w:hAnsiTheme="minorEastAsia"/>
                <w:sz w:val="28"/>
                <w:szCs w:val="28"/>
              </w:rPr>
              <w:t>决定在本行政区域实施的重大公共建设项目</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政府投资的重大社会公共建设项目，主要包括投资额</w:t>
            </w:r>
            <w:r>
              <w:rPr>
                <w:rFonts w:hint="eastAsia" w:cs="Times New Roman" w:asciiTheme="minorEastAsia" w:hAnsiTheme="minorEastAsia"/>
                <w:color w:val="000000" w:themeColor="text1"/>
                <w:sz w:val="24"/>
                <w:szCs w:val="24"/>
              </w:rPr>
              <w:t>在1亿元</w:t>
            </w:r>
            <w:r>
              <w:rPr>
                <w:rFonts w:hint="eastAsia" w:cs="Times New Roman" w:asciiTheme="minorEastAsia" w:hAnsiTheme="minorEastAsia"/>
                <w:sz w:val="24"/>
                <w:szCs w:val="24"/>
              </w:rPr>
              <w:t>以上以及其他需经政府核准、对社会公众利益有重大影响的建设项目</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县发改委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5" w:hRule="atLeast"/>
        </w:trPr>
        <w:tc>
          <w:tcPr>
            <w:tcW w:w="817" w:type="dxa"/>
            <w:vAlign w:val="center"/>
          </w:tcPr>
          <w:p>
            <w:pPr>
              <w:jc w:val="center"/>
              <w:rPr>
                <w:rFonts w:cs="Times New Roman" w:asciiTheme="minorEastAsia" w:hAnsiTheme="minorEastAsia"/>
                <w:sz w:val="28"/>
                <w:szCs w:val="28"/>
              </w:rPr>
            </w:pPr>
            <w:r>
              <w:rPr>
                <w:rFonts w:hint="eastAsia" w:cs="Times New Roman" w:asciiTheme="minorEastAsia" w:hAnsiTheme="minorEastAsia"/>
                <w:sz w:val="24"/>
                <w:szCs w:val="24"/>
              </w:rPr>
              <w:t>14</w:t>
            </w:r>
          </w:p>
        </w:tc>
        <w:tc>
          <w:tcPr>
            <w:tcW w:w="2977" w:type="dxa"/>
            <w:vMerge w:val="continue"/>
          </w:tcPr>
          <w:p>
            <w:pPr>
              <w:rPr>
                <w:rFonts w:cs="Times New Roman" w:asciiTheme="minorEastAsia" w:hAnsiTheme="minorEastAsia"/>
                <w:sz w:val="28"/>
                <w:szCs w:val="28"/>
              </w:rPr>
            </w:pP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旧城改造方案</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县住建局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7" w:hRule="atLeast"/>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386"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trPr>
        <w:tc>
          <w:tcPr>
            <w:tcW w:w="817" w:type="dxa"/>
            <w:vAlign w:val="center"/>
          </w:tcPr>
          <w:p>
            <w:pPr>
              <w:jc w:val="center"/>
              <w:rPr>
                <w:rFonts w:cs="Times New Roman" w:asciiTheme="minorEastAsia" w:hAnsiTheme="minorEastAsia"/>
                <w:sz w:val="28"/>
                <w:szCs w:val="28"/>
              </w:rPr>
            </w:pPr>
            <w:r>
              <w:rPr>
                <w:rFonts w:hint="eastAsia" w:cs="Times New Roman" w:asciiTheme="minorEastAsia" w:hAnsiTheme="minorEastAsia"/>
                <w:sz w:val="24"/>
                <w:szCs w:val="24"/>
              </w:rPr>
              <w:t>15</w:t>
            </w:r>
          </w:p>
        </w:tc>
        <w:tc>
          <w:tcPr>
            <w:tcW w:w="2977" w:type="dxa"/>
            <w:vMerge w:val="restart"/>
            <w:vAlign w:val="center"/>
          </w:tcPr>
          <w:p>
            <w:pPr>
              <w:rPr>
                <w:rFonts w:cs="Times New Roman" w:asciiTheme="minorEastAsia" w:hAnsiTheme="minorEastAsia"/>
                <w:sz w:val="28"/>
                <w:szCs w:val="28"/>
              </w:rPr>
            </w:pPr>
            <w:r>
              <w:rPr>
                <w:rFonts w:hint="eastAsia" w:cs="Times New Roman" w:asciiTheme="minorEastAsia" w:hAnsiTheme="minorEastAsia"/>
                <w:sz w:val="28"/>
                <w:szCs w:val="28"/>
              </w:rPr>
              <w:t>决定对经济社会发展有重大影响、涉及重大公共利益或者社会公众切身利益的其他重大事项</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土地和矿业权出让</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县自然资源和规划局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5"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16</w:t>
            </w:r>
          </w:p>
        </w:tc>
        <w:tc>
          <w:tcPr>
            <w:tcW w:w="2977" w:type="dxa"/>
            <w:vMerge w:val="continue"/>
          </w:tcPr>
          <w:p>
            <w:pPr>
              <w:rPr>
                <w:rFonts w:cs="Times New Roman" w:asciiTheme="minorEastAsia" w:hAnsiTheme="minorEastAsia"/>
                <w:sz w:val="24"/>
                <w:szCs w:val="24"/>
              </w:rPr>
            </w:pP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政府融资平台公司注资融资</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有关国有企业</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p>
            <w:pPr>
              <w:jc w:val="center"/>
              <w:rPr>
                <w:rFonts w:cs="Times New Roman" w:asciiTheme="minorEastAsia" w:hAnsiTheme="minorEastAsia"/>
                <w:sz w:val="24"/>
                <w:szCs w:val="24"/>
              </w:rPr>
            </w:pPr>
            <w:r>
              <w:rPr>
                <w:rFonts w:hint="eastAsia" w:cs="Times New Roman" w:asciiTheme="minorEastAsia" w:hAnsiTheme="minorEastAsia"/>
                <w:sz w:val="24"/>
                <w:szCs w:val="24"/>
              </w:rPr>
              <w:t>有关国有企业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2"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17</w:t>
            </w:r>
          </w:p>
        </w:tc>
        <w:tc>
          <w:tcPr>
            <w:tcW w:w="2977" w:type="dxa"/>
            <w:vMerge w:val="continue"/>
          </w:tcPr>
          <w:p>
            <w:pPr>
              <w:rPr>
                <w:rFonts w:cs="Times New Roman" w:asciiTheme="minorEastAsia" w:hAnsiTheme="minorEastAsia"/>
                <w:sz w:val="24"/>
                <w:szCs w:val="24"/>
              </w:rPr>
            </w:pP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重大国有资产处置：包括单项或批量资产原值在 300 万元以上（含 300 万元）的行政事业单位国有资产（不含达到规定使用年限、正常报废的专用设备 ）；行政事业单位国有土地、房屋资产；县属国有企业转让全部资产，或者转让部分国有资产致使国家对该企业不再具有控股地位；涉及公众利益、引起广泛关注等重大有形、无形国有资产处置事项</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p>
            <w:pPr>
              <w:jc w:val="center"/>
              <w:rPr>
                <w:rFonts w:cs="Times New Roman" w:asciiTheme="minorEastAsia" w:hAnsiTheme="minorEastAsia"/>
                <w:sz w:val="24"/>
                <w:szCs w:val="24"/>
              </w:rPr>
            </w:pP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县财政局</w:t>
            </w:r>
          </w:p>
          <w:p>
            <w:pPr>
              <w:jc w:val="center"/>
              <w:rPr>
                <w:rFonts w:cs="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817"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977" w:type="dxa"/>
            <w:vAlign w:val="center"/>
          </w:tcPr>
          <w:p>
            <w:pPr>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重大事项范围</w:t>
            </w:r>
          </w:p>
        </w:tc>
        <w:tc>
          <w:tcPr>
            <w:tcW w:w="5386"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重大事项名称</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决策承办主体</w:t>
            </w:r>
          </w:p>
        </w:tc>
        <w:tc>
          <w:tcPr>
            <w:tcW w:w="2410" w:type="dxa"/>
            <w:vAlign w:val="center"/>
          </w:tcPr>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决策执行主体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6"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18</w:t>
            </w:r>
          </w:p>
        </w:tc>
        <w:tc>
          <w:tcPr>
            <w:tcW w:w="2977" w:type="dxa"/>
            <w:vAlign w:val="center"/>
          </w:tcPr>
          <w:p>
            <w:pPr>
              <w:rPr>
                <w:rFonts w:cs="Times New Roman" w:asciiTheme="minorEastAsia" w:hAnsiTheme="minorEastAsia"/>
                <w:sz w:val="24"/>
                <w:szCs w:val="24"/>
              </w:rPr>
            </w:pPr>
            <w:r>
              <w:rPr>
                <w:rFonts w:hint="eastAsia" w:cs="Times New Roman" w:asciiTheme="minorEastAsia" w:hAnsiTheme="minorEastAsia"/>
                <w:sz w:val="28"/>
                <w:szCs w:val="28"/>
              </w:rPr>
              <w:t>决定对经济社会发展有重大影响、涉及重大公共利益或者社会公众切身利益的其他重大事项</w:t>
            </w:r>
          </w:p>
        </w:tc>
        <w:tc>
          <w:tcPr>
            <w:tcW w:w="5386" w:type="dxa"/>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公共资源交易：包括因项目特殊需要改变法定招标方式或采购方式的工程建设项目（1000 万元—5000 万元报政府专题委员会议研究决定，5000 万元以上报政府常务会议研究决定）、政府采购项目（500 万元—1000 万元报政府专题委员会议研究决定，1000 万元以上报政府常务会议研究决定）；采用 BT、BOT、EPC、TOT、PPP模式建设的不宜按规定进行招标采购的各类项目等</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市公共资源交易休宁分中心</w:t>
            </w:r>
          </w:p>
        </w:tc>
        <w:tc>
          <w:tcPr>
            <w:tcW w:w="2410"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市公共资源交易休宁分中心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9" w:hRule="atLeast"/>
        </w:trPr>
        <w:tc>
          <w:tcPr>
            <w:tcW w:w="817" w:type="dxa"/>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19</w:t>
            </w:r>
          </w:p>
        </w:tc>
        <w:tc>
          <w:tcPr>
            <w:tcW w:w="2977" w:type="dxa"/>
          </w:tcPr>
          <w:p>
            <w:pPr>
              <w:jc w:val="center"/>
              <w:rPr>
                <w:rFonts w:cs="Times New Roman" w:asciiTheme="minorEastAsia" w:hAnsiTheme="minorEastAsia"/>
                <w:color w:val="000000" w:themeColor="text1"/>
                <w:sz w:val="28"/>
                <w:szCs w:val="28"/>
              </w:rPr>
            </w:pPr>
          </w:p>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8"/>
                <w:szCs w:val="28"/>
              </w:rPr>
              <w:t>其他重大决策事项</w:t>
            </w:r>
          </w:p>
        </w:tc>
        <w:tc>
          <w:tcPr>
            <w:tcW w:w="5386" w:type="dxa"/>
            <w:vAlign w:val="center"/>
          </w:tcPr>
          <w:p>
            <w:pP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对经济社会发展和民生改善有直接、广泛和重要影响的其他重大决策事项</w:t>
            </w:r>
          </w:p>
        </w:tc>
        <w:tc>
          <w:tcPr>
            <w:tcW w:w="2410" w:type="dxa"/>
            <w:vAlign w:val="center"/>
          </w:tcPr>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县直有关部门</w:t>
            </w:r>
          </w:p>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有关乡镇政府</w:t>
            </w:r>
          </w:p>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有关国有企业</w:t>
            </w:r>
          </w:p>
        </w:tc>
        <w:tc>
          <w:tcPr>
            <w:tcW w:w="2410" w:type="dxa"/>
            <w:vAlign w:val="center"/>
          </w:tcPr>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县直有关部门</w:t>
            </w:r>
          </w:p>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有关乡镇政府</w:t>
            </w:r>
          </w:p>
          <w:p>
            <w:pPr>
              <w:jc w:val="center"/>
              <w:rPr>
                <w:rFonts w:cs="Times New Roman" w:asciiTheme="minorEastAsia" w:hAnsiTheme="minorEastAsia"/>
                <w:color w:val="000000" w:themeColor="text1"/>
                <w:sz w:val="24"/>
                <w:szCs w:val="24"/>
              </w:rPr>
            </w:pPr>
            <w:r>
              <w:rPr>
                <w:rFonts w:hint="eastAsia" w:cs="Times New Roman" w:asciiTheme="minorEastAsia" w:hAnsiTheme="minorEastAsia"/>
                <w:color w:val="000000" w:themeColor="text1"/>
                <w:sz w:val="24"/>
                <w:szCs w:val="24"/>
              </w:rPr>
              <w:t>有关国有企业</w:t>
            </w:r>
          </w:p>
        </w:tc>
      </w:tr>
    </w:tbl>
    <w:p>
      <w:pPr>
        <w:rPr>
          <w:rFonts w:ascii="Times New Roman" w:hAnsi="Times New Roman" w:eastAsia="方正仿宋_GBK" w:cs="Times New Roman"/>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640D"/>
    <w:rsid w:val="0005640D"/>
    <w:rsid w:val="00080E6D"/>
    <w:rsid w:val="000B0CE8"/>
    <w:rsid w:val="000B7805"/>
    <w:rsid w:val="000E7D80"/>
    <w:rsid w:val="00145CDF"/>
    <w:rsid w:val="001A3F14"/>
    <w:rsid w:val="001C7A9B"/>
    <w:rsid w:val="0028771A"/>
    <w:rsid w:val="002C76C4"/>
    <w:rsid w:val="002F2519"/>
    <w:rsid w:val="00300D91"/>
    <w:rsid w:val="003164ED"/>
    <w:rsid w:val="00333B6E"/>
    <w:rsid w:val="00395E1F"/>
    <w:rsid w:val="003A0A8D"/>
    <w:rsid w:val="003A7E76"/>
    <w:rsid w:val="00422FD5"/>
    <w:rsid w:val="00472158"/>
    <w:rsid w:val="004F6166"/>
    <w:rsid w:val="005002F4"/>
    <w:rsid w:val="00532AAE"/>
    <w:rsid w:val="00537CE1"/>
    <w:rsid w:val="00550DFF"/>
    <w:rsid w:val="005564E0"/>
    <w:rsid w:val="00586EBB"/>
    <w:rsid w:val="005C619C"/>
    <w:rsid w:val="00692BA9"/>
    <w:rsid w:val="006A7BC3"/>
    <w:rsid w:val="006C2BEE"/>
    <w:rsid w:val="006F550A"/>
    <w:rsid w:val="00717F7E"/>
    <w:rsid w:val="00731745"/>
    <w:rsid w:val="0077038A"/>
    <w:rsid w:val="007A6DB1"/>
    <w:rsid w:val="00863308"/>
    <w:rsid w:val="0087561F"/>
    <w:rsid w:val="008D79D2"/>
    <w:rsid w:val="008F1A60"/>
    <w:rsid w:val="00935606"/>
    <w:rsid w:val="009471CA"/>
    <w:rsid w:val="009A6DA2"/>
    <w:rsid w:val="009E6489"/>
    <w:rsid w:val="00AA392E"/>
    <w:rsid w:val="00B10870"/>
    <w:rsid w:val="00B46D5C"/>
    <w:rsid w:val="00BA3DF9"/>
    <w:rsid w:val="00BC7998"/>
    <w:rsid w:val="00BD5DCF"/>
    <w:rsid w:val="00BE0D06"/>
    <w:rsid w:val="00BE6EC1"/>
    <w:rsid w:val="00C10F70"/>
    <w:rsid w:val="00C30C21"/>
    <w:rsid w:val="00C7754C"/>
    <w:rsid w:val="00C80694"/>
    <w:rsid w:val="00CC6D4E"/>
    <w:rsid w:val="00D8224E"/>
    <w:rsid w:val="00D84782"/>
    <w:rsid w:val="00D84D4E"/>
    <w:rsid w:val="00D869C1"/>
    <w:rsid w:val="00D92D10"/>
    <w:rsid w:val="00D93D3E"/>
    <w:rsid w:val="00DE083D"/>
    <w:rsid w:val="00E048E0"/>
    <w:rsid w:val="00E25A30"/>
    <w:rsid w:val="00E458AA"/>
    <w:rsid w:val="00E5422D"/>
    <w:rsid w:val="00F004FE"/>
    <w:rsid w:val="00F455B5"/>
    <w:rsid w:val="00F80085"/>
    <w:rsid w:val="00FB7982"/>
    <w:rsid w:val="00FD0C1D"/>
    <w:rsid w:val="00FE045E"/>
    <w:rsid w:val="01E41379"/>
    <w:rsid w:val="3AA876C7"/>
    <w:rsid w:val="500F54DA"/>
    <w:rsid w:val="7BD20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B336C-BB72-452F-A1F4-5BFF94B20B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359</Words>
  <Characters>2051</Characters>
  <Lines>17</Lines>
  <Paragraphs>4</Paragraphs>
  <TotalTime>123</TotalTime>
  <ScaleCrop>false</ScaleCrop>
  <LinksUpToDate>false</LinksUpToDate>
  <CharactersWithSpaces>2406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2021-08-10T02:39:00Z</dcterms:created>
  <dc:creator>吴丽玲</dc:creator>
  <cp:lastModifiedBy>王小平</cp:lastModifiedBy>
  <cp:lastPrinted>2021-08-17T02:55:00Z</cp:lastPrinted>
  <dcterms:modified xsi:type="dcterms:W3CDTF">2021-08-30T03:12:14Z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3CAAD76ECD614C41ACE14CFE93E6F981</vt:lpwstr>
  </property>
</Properties>
</file>