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D27813">
      <w:pPr>
        <w:widowControl/>
        <w:spacing w:line="5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rPr>
        <w:t>202</w:t>
      </w:r>
      <w:r>
        <w:rPr>
          <w:rFonts w:hint="eastAsia" w:ascii="方正小标宋简体" w:hAnsi="方正小标宋简体" w:eastAsia="方正小标宋简体" w:cs="方正小标宋简体"/>
          <w:bCs/>
          <w:sz w:val="44"/>
          <w:szCs w:val="44"/>
          <w:lang w:val="en-US" w:eastAsia="zh-CN"/>
        </w:rPr>
        <w:t>4</w:t>
      </w:r>
      <w:r>
        <w:rPr>
          <w:rFonts w:hint="eastAsia" w:ascii="方正小标宋简体" w:hAnsi="方正小标宋简体" w:eastAsia="方正小标宋简体" w:cs="方正小标宋简体"/>
          <w:bCs/>
          <w:sz w:val="44"/>
          <w:szCs w:val="44"/>
        </w:rPr>
        <w:t>年度休宁县</w:t>
      </w:r>
      <w:r>
        <w:rPr>
          <w:rFonts w:hint="eastAsia" w:ascii="方正小标宋简体" w:hAnsi="方正小标宋简体" w:eastAsia="方正小标宋简体" w:cs="方正小标宋简体"/>
          <w:bCs/>
          <w:sz w:val="44"/>
          <w:szCs w:val="44"/>
          <w:lang w:eastAsia="zh-CN"/>
        </w:rPr>
        <w:t>知识产权政策奖补</w:t>
      </w:r>
    </w:p>
    <w:p w14:paraId="43E5FF94">
      <w:pPr>
        <w:widowControl/>
        <w:spacing w:line="500" w:lineRule="exact"/>
        <w:jc w:val="center"/>
        <w:rPr>
          <w:rFonts w:hint="eastAsia" w:ascii="方正小标宋简体" w:hAnsi="方正小标宋简体" w:eastAsia="方正小标宋简体" w:cs="方正小标宋简体"/>
          <w:bCs/>
          <w:sz w:val="44"/>
          <w:szCs w:val="44"/>
          <w:lang w:eastAsia="zh-CN"/>
        </w:rPr>
      </w:pPr>
      <w:r>
        <w:rPr>
          <w:rFonts w:hint="eastAsia" w:ascii="方正小标宋简体" w:hAnsi="方正小标宋简体" w:eastAsia="方正小标宋简体" w:cs="方正小标宋简体"/>
          <w:bCs/>
          <w:sz w:val="44"/>
          <w:szCs w:val="44"/>
        </w:rPr>
        <w:t>申报指南</w:t>
      </w:r>
    </w:p>
    <w:p w14:paraId="3A46FEFD">
      <w:pPr>
        <w:widowControl/>
        <w:spacing w:line="500" w:lineRule="exact"/>
        <w:ind w:firstLine="640" w:firstLineChars="200"/>
        <w:rPr>
          <w:rFonts w:hint="eastAsia" w:ascii="仿宋_GB2312" w:hAnsi="仿宋_GB2312" w:eastAsia="仿宋_GB2312" w:cs="仿宋_GB2312"/>
          <w:sz w:val="32"/>
          <w:szCs w:val="32"/>
        </w:rPr>
      </w:pPr>
    </w:p>
    <w:p w14:paraId="47AF189E">
      <w:pPr>
        <w:widowControl/>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eastAsia="zh-CN"/>
        </w:rPr>
        <w:t>休宁县</w:t>
      </w:r>
      <w:r>
        <w:rPr>
          <w:rFonts w:hint="eastAsia" w:ascii="仿宋_GB2312" w:hAnsi="仿宋_GB2312" w:eastAsia="仿宋_GB2312" w:cs="仿宋_GB2312"/>
          <w:sz w:val="32"/>
          <w:szCs w:val="32"/>
        </w:rPr>
        <w:t>人民政府办公室关于印发</w:t>
      </w:r>
      <w:r>
        <w:rPr>
          <w:rFonts w:hint="eastAsia" w:ascii="仿宋_GB2312" w:hAnsi="仿宋_GB2312" w:eastAsia="仿宋_GB2312" w:cs="仿宋_GB2312"/>
          <w:sz w:val="32"/>
          <w:szCs w:val="32"/>
          <w:lang w:eastAsia="zh-CN"/>
        </w:rPr>
        <w:t>休宁县</w:t>
      </w:r>
      <w:r>
        <w:rPr>
          <w:rFonts w:hint="eastAsia" w:ascii="仿宋_GB2312" w:hAnsi="仿宋_GB2312" w:eastAsia="仿宋_GB2312" w:cs="仿宋_GB2312"/>
          <w:sz w:val="32"/>
          <w:szCs w:val="32"/>
        </w:rPr>
        <w:t>促进质量提升若干政策的通知》(</w:t>
      </w:r>
      <w:r>
        <w:rPr>
          <w:rFonts w:hint="eastAsia" w:ascii="仿宋_GB2312" w:hAnsi="仿宋_GB2312" w:eastAsia="仿宋_GB2312" w:cs="仿宋_GB2312"/>
          <w:sz w:val="32"/>
          <w:szCs w:val="32"/>
          <w:lang w:eastAsia="zh-CN"/>
        </w:rPr>
        <w:t>休</w:t>
      </w:r>
      <w:r>
        <w:rPr>
          <w:rFonts w:hint="eastAsia" w:ascii="仿宋_GB2312" w:hAnsi="仿宋_GB2312" w:eastAsia="仿宋_GB2312" w:cs="仿宋_GB2312"/>
          <w:sz w:val="32"/>
          <w:szCs w:val="32"/>
        </w:rPr>
        <w:t>政办〔202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号)要求，按照程序规范、操作简便、权责明确、公正透明的原则，特制定以下申报指南。</w:t>
      </w:r>
    </w:p>
    <w:p w14:paraId="33C69EEF">
      <w:pPr>
        <w:spacing w:line="560"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第一部分  申报条件和材料</w:t>
      </w:r>
    </w:p>
    <w:p w14:paraId="2DC95CA4">
      <w:pPr>
        <w:spacing w:line="560" w:lineRule="exact"/>
        <w:ind w:firstLine="643" w:firstLineChars="200"/>
        <w:rPr>
          <w:rFonts w:hint="eastAsia" w:ascii="楷体_GB2312" w:hAnsi="楷体_GB2312" w:eastAsia="楷体_GB2312" w:cs="楷体_GB2312"/>
          <w:b/>
          <w:bCs/>
          <w:sz w:val="32"/>
          <w:szCs w:val="32"/>
        </w:rPr>
      </w:pPr>
      <w:r>
        <w:rPr>
          <w:rFonts w:hint="eastAsia" w:ascii="仿宋_GB2312" w:hAnsi="仿宋_GB2312" w:eastAsia="仿宋_GB2312" w:cs="仿宋_GB2312"/>
          <w:b/>
          <w:bCs/>
          <w:sz w:val="32"/>
          <w:szCs w:val="32"/>
        </w:rPr>
        <w:t>（一）</w:t>
      </w:r>
      <w:r>
        <w:rPr>
          <w:rFonts w:hint="eastAsia" w:ascii="楷体_GB2312" w:hAnsi="楷体_GB2312" w:eastAsia="楷体_GB2312" w:cs="楷体_GB2312"/>
          <w:b/>
          <w:bCs/>
          <w:sz w:val="32"/>
          <w:szCs w:val="32"/>
        </w:rPr>
        <w:t>基本材料</w:t>
      </w:r>
    </w:p>
    <w:p w14:paraId="5342F970">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1.申报单位正式申请文件；</w:t>
      </w:r>
    </w:p>
    <w:p w14:paraId="07120BF7">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2.申报单位的资金申请表（</w:t>
      </w:r>
      <w:r>
        <w:rPr>
          <w:rFonts w:hint="eastAsia" w:ascii="仿宋_GB2312" w:hAnsi="仿宋_GB2312" w:eastAsia="仿宋_GB2312" w:cs="仿宋_GB2312"/>
          <w:sz w:val="32"/>
          <w:szCs w:val="32"/>
          <w:lang w:eastAsia="zh-CN"/>
        </w:rPr>
        <w:t>表</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p>
    <w:p w14:paraId="4F799E1F">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3.统一社会信用代码证；</w:t>
      </w:r>
    </w:p>
    <w:p w14:paraId="480F9539">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.申报单位和其法定代表人对申报材料真实性的承诺书并加盖单位公章；</w:t>
      </w:r>
    </w:p>
    <w:p w14:paraId="050F6CC8">
      <w:pPr>
        <w:spacing w:line="560" w:lineRule="exact"/>
        <w:ind w:firstLine="643" w:firstLineChars="200"/>
        <w:rPr>
          <w:rFonts w:hint="eastAsia" w:ascii="楷体_GB2312" w:hAnsi="楷体_GB2312" w:eastAsia="楷体_GB2312" w:cs="楷体_GB2312"/>
          <w:b/>
          <w:bCs/>
          <w:sz w:val="32"/>
          <w:szCs w:val="32"/>
        </w:rPr>
      </w:pPr>
      <w:r>
        <w:rPr>
          <w:rFonts w:hint="eastAsia" w:ascii="仿宋_GB2312" w:hAnsi="仿宋_GB2312" w:eastAsia="仿宋_GB2312" w:cs="仿宋_GB2312"/>
          <w:b/>
          <w:bCs/>
          <w:sz w:val="32"/>
          <w:szCs w:val="32"/>
        </w:rPr>
        <w:t>（二）</w:t>
      </w:r>
      <w:r>
        <w:rPr>
          <w:rFonts w:hint="eastAsia" w:ascii="楷体_GB2312" w:hAnsi="楷体_GB2312" w:eastAsia="楷体_GB2312" w:cs="楷体_GB2312"/>
          <w:b/>
          <w:bCs/>
          <w:sz w:val="32"/>
          <w:szCs w:val="32"/>
        </w:rPr>
        <w:t>具体奖补项目</w:t>
      </w:r>
    </w:p>
    <w:p w14:paraId="0289AA0E">
      <w:pPr>
        <w:spacing w:line="560" w:lineRule="exact"/>
        <w:ind w:firstLine="622" w:firstLineChars="200"/>
        <w:rPr>
          <w:rFonts w:hint="eastAsia" w:ascii="仿宋_GB2312" w:hAnsi="仿宋_GB2312" w:eastAsia="仿宋_GB2312" w:cs="仿宋_GB2312"/>
          <w:b/>
          <w:sz w:val="32"/>
          <w:szCs w:val="32"/>
        </w:rPr>
      </w:pPr>
      <w:r>
        <w:rPr>
          <w:rFonts w:ascii="楷体_GB2312" w:hAnsi="楷体_GB2312" w:eastAsia="楷体_GB2312" w:cs="楷体_GB2312"/>
          <w:b/>
          <w:bCs/>
          <w:color w:val="000000"/>
          <w:sz w:val="31"/>
          <w:szCs w:val="31"/>
        </w:rPr>
        <w:t>推进知识产权创造运用和保护</w:t>
      </w:r>
    </w:p>
    <w:p w14:paraId="1F6B86DF">
      <w:pPr>
        <w:spacing w:line="560" w:lineRule="exact"/>
        <w:ind w:firstLine="630" w:firstLineChars="196"/>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（1）申报条件</w:t>
      </w:r>
    </w:p>
    <w:p w14:paraId="63111CE5">
      <w:pPr>
        <w:spacing w:line="56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年：获得发明专利、实用新型专利授权的企业</w:t>
      </w:r>
      <w:r>
        <w:rPr>
          <w:rFonts w:hint="eastAsia" w:ascii="仿宋_GB2312" w:hAnsi="仿宋_GB2312" w:eastAsia="仿宋_GB2312" w:cs="仿宋_GB2312"/>
          <w:sz w:val="32"/>
          <w:szCs w:val="32"/>
          <w:lang w:val="en-US" w:eastAsia="zh-CN"/>
        </w:rPr>
        <w:t>,</w:t>
      </w:r>
      <w:r>
        <w:rPr>
          <w:rFonts w:ascii="仿宋_GB2312" w:hAnsi="仿宋_GB2312" w:eastAsia="仿宋_GB2312" w:cs="仿宋_GB2312"/>
          <w:b w:val="0"/>
          <w:bCs w:val="0"/>
          <w:color w:val="000000"/>
          <w:sz w:val="31"/>
          <w:szCs w:val="31"/>
        </w:rPr>
        <w:t>每件分别奖励</w:t>
      </w:r>
      <w:r>
        <w:rPr>
          <w:rFonts w:ascii="TimesNewRomanPSMT" w:hAnsi="TimesNewRomanPSMT" w:eastAsia="TimesNewRomanPSMT" w:cs="TimesNewRomanPSMT"/>
          <w:b w:val="0"/>
          <w:bCs w:val="0"/>
          <w:color w:val="000000"/>
          <w:sz w:val="31"/>
          <w:szCs w:val="31"/>
        </w:rPr>
        <w:t>1</w:t>
      </w:r>
      <w:r>
        <w:rPr>
          <w:rFonts w:ascii="仿宋_GB2312" w:hAnsi="仿宋_GB2312" w:eastAsia="仿宋_GB2312" w:cs="仿宋_GB2312"/>
          <w:b w:val="0"/>
          <w:bCs w:val="0"/>
          <w:color w:val="000000"/>
          <w:sz w:val="31"/>
          <w:szCs w:val="31"/>
        </w:rPr>
        <w:t>万元、</w:t>
      </w:r>
      <w:r>
        <w:rPr>
          <w:rFonts w:hint="default" w:ascii="TimesNewRomanPSMT" w:hAnsi="TimesNewRomanPSMT" w:eastAsia="TimesNewRomanPSMT" w:cs="TimesNewRomanPSMT"/>
          <w:b w:val="0"/>
          <w:bCs w:val="0"/>
          <w:color w:val="000000"/>
          <w:sz w:val="31"/>
          <w:szCs w:val="31"/>
        </w:rPr>
        <w:t>0.1</w:t>
      </w:r>
      <w:r>
        <w:rPr>
          <w:rFonts w:ascii="仿宋_GB2312" w:hAnsi="仿宋_GB2312" w:eastAsia="仿宋_GB2312" w:cs="仿宋_GB2312"/>
          <w:b w:val="0"/>
          <w:bCs w:val="0"/>
          <w:color w:val="000000"/>
          <w:sz w:val="31"/>
          <w:szCs w:val="31"/>
        </w:rPr>
        <w:t>万元</w:t>
      </w:r>
      <w:r>
        <w:rPr>
          <w:rFonts w:hint="eastAsia" w:ascii="仿宋_GB2312" w:hAnsi="仿宋_GB2312" w:eastAsia="仿宋_GB2312" w:cs="仿宋_GB2312"/>
          <w:sz w:val="32"/>
          <w:szCs w:val="32"/>
        </w:rPr>
        <w:t>；发明专利申请量达到5件、10件、15件的企业</w:t>
      </w:r>
      <w:r>
        <w:rPr>
          <w:rFonts w:hint="eastAsia" w:ascii="仿宋_GB2312" w:hAnsi="仿宋_GB2312" w:eastAsia="仿宋_GB2312" w:cs="仿宋_GB2312"/>
          <w:sz w:val="32"/>
          <w:szCs w:val="32"/>
          <w:lang w:val="en-US" w:eastAsia="zh-CN"/>
        </w:rPr>
        <w:t>,分别奖励1万元、2万元、3万元</w:t>
      </w:r>
      <w:r>
        <w:rPr>
          <w:rFonts w:hint="eastAsia" w:ascii="仿宋_GB2312" w:hAnsi="仿宋_GB2312" w:eastAsia="仿宋_GB2312" w:cs="仿宋_GB2312"/>
          <w:sz w:val="32"/>
          <w:szCs w:val="32"/>
        </w:rPr>
        <w:t>；通过PCT申请获得国外专利授权的企业</w:t>
      </w:r>
      <w:r>
        <w:rPr>
          <w:rFonts w:hint="eastAsia" w:ascii="仿宋_GB2312" w:hAnsi="仿宋_GB2312" w:eastAsia="仿宋_GB2312" w:cs="仿宋_GB2312"/>
          <w:sz w:val="32"/>
          <w:szCs w:val="32"/>
          <w:lang w:val="en-US" w:eastAsia="zh-CN"/>
        </w:rPr>
        <w:t>,每件资助3万元（最多资助2个国家授权）</w:t>
      </w:r>
      <w:r>
        <w:rPr>
          <w:rFonts w:hint="eastAsia" w:ascii="仿宋_GB2312" w:hAnsi="仿宋_GB2312" w:eastAsia="仿宋_GB2312" w:cs="仿宋_GB2312"/>
          <w:sz w:val="32"/>
          <w:szCs w:val="32"/>
        </w:rPr>
        <w:t>；授权发明专利净增长达到5件、10件、15件的企事业单位</w:t>
      </w:r>
      <w:r>
        <w:rPr>
          <w:rFonts w:hint="eastAsia" w:ascii="仿宋_GB2312" w:hAnsi="仿宋_GB2312" w:eastAsia="仿宋_GB2312" w:cs="仿宋_GB2312"/>
          <w:sz w:val="32"/>
          <w:szCs w:val="32"/>
          <w:lang w:val="en-US" w:eastAsia="zh-CN"/>
        </w:rPr>
        <w:t>,分别奖励2万元、3万元、4万元</w:t>
      </w:r>
      <w:r>
        <w:rPr>
          <w:rFonts w:hint="eastAsia" w:ascii="仿宋_GB2312" w:hAnsi="仿宋_GB2312" w:eastAsia="仿宋_GB2312" w:cs="仿宋_GB2312"/>
          <w:sz w:val="32"/>
          <w:szCs w:val="32"/>
        </w:rPr>
        <w:t>；授权发明专利10件、20件及以上的知识产权服务机构</w:t>
      </w:r>
      <w:r>
        <w:rPr>
          <w:rFonts w:hint="eastAsia" w:ascii="仿宋_GB2312" w:hAnsi="仿宋_GB2312" w:eastAsia="仿宋_GB2312" w:cs="仿宋_GB2312"/>
          <w:sz w:val="32"/>
          <w:szCs w:val="32"/>
          <w:lang w:val="en-US" w:eastAsia="zh-CN"/>
        </w:rPr>
        <w:t>,分别给予1万元、2万元奖励</w:t>
      </w:r>
      <w:r>
        <w:rPr>
          <w:rFonts w:hint="eastAsia" w:ascii="仿宋_GB2312" w:hAnsi="仿宋_GB2312" w:eastAsia="仿宋_GB2312" w:cs="仿宋_GB2312"/>
          <w:sz w:val="32"/>
          <w:szCs w:val="32"/>
        </w:rPr>
        <w:t xml:space="preserve">。 </w:t>
      </w:r>
    </w:p>
    <w:p w14:paraId="1CFE8539">
      <w:pPr>
        <w:spacing w:line="56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②获中国专利金奖、银奖、优秀奖的</w:t>
      </w:r>
      <w:r>
        <w:rPr>
          <w:rFonts w:hint="eastAsia" w:ascii="仿宋_GB2312" w:hAnsi="仿宋_GB2312" w:eastAsia="仿宋_GB2312" w:cs="仿宋_GB2312"/>
          <w:sz w:val="32"/>
          <w:szCs w:val="32"/>
          <w:lang w:val="en-US" w:eastAsia="zh-CN"/>
        </w:rPr>
        <w:t>,分别奖励10万元、8万元、5万元</w:t>
      </w:r>
      <w:r>
        <w:rPr>
          <w:rFonts w:hint="eastAsia" w:ascii="仿宋_GB2312" w:hAnsi="仿宋_GB2312" w:eastAsia="仿宋_GB2312" w:cs="仿宋_GB2312"/>
          <w:sz w:val="32"/>
          <w:szCs w:val="32"/>
        </w:rPr>
        <w:t>；获中国外观设计金奖、银奖、优秀奖的</w:t>
      </w:r>
      <w:r>
        <w:rPr>
          <w:rFonts w:hint="eastAsia" w:ascii="仿宋_GB2312" w:hAnsi="仿宋_GB2312" w:eastAsia="仿宋_GB2312" w:cs="仿宋_GB2312"/>
          <w:sz w:val="32"/>
          <w:szCs w:val="32"/>
          <w:lang w:val="en-US" w:eastAsia="zh-CN"/>
        </w:rPr>
        <w:t>,分别奖励5万元、3万元、2万元</w:t>
      </w:r>
      <w:r>
        <w:rPr>
          <w:rFonts w:hint="eastAsia" w:ascii="仿宋_GB2312" w:hAnsi="仿宋_GB2312" w:eastAsia="仿宋_GB2312" w:cs="仿宋_GB2312"/>
          <w:sz w:val="32"/>
          <w:szCs w:val="32"/>
        </w:rPr>
        <w:t>；获省专利金奖、银奖、优秀奖的</w:t>
      </w:r>
      <w:r>
        <w:rPr>
          <w:rFonts w:hint="eastAsia" w:ascii="仿宋_GB2312" w:hAnsi="仿宋_GB2312" w:eastAsia="仿宋_GB2312" w:cs="仿宋_GB2312"/>
          <w:sz w:val="32"/>
          <w:szCs w:val="32"/>
          <w:lang w:val="en-US" w:eastAsia="zh-CN"/>
        </w:rPr>
        <w:t>,分别奖励5万元、3万元、2万元</w:t>
      </w:r>
      <w:r>
        <w:rPr>
          <w:rFonts w:hint="eastAsia" w:ascii="仿宋_GB2312" w:hAnsi="仿宋_GB2312" w:eastAsia="仿宋_GB2312" w:cs="仿宋_GB2312"/>
          <w:sz w:val="32"/>
          <w:szCs w:val="32"/>
        </w:rPr>
        <w:t>。</w:t>
      </w:r>
    </w:p>
    <w:p w14:paraId="3E348C40">
      <w:pPr>
        <w:spacing w:line="56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③202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年新认定的国家、省知识产权示范企业</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分别奖励20万元、10万元；对复核合格的国家知识产权示范、优势企业奖励5万元；202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年新认定的国家、省知识产权优势企业</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分别奖励10万元、5万元；对通过国家知识产权管理规范认证的企业（认证前须到市场监管局备案）奖励3万元；对入选安徽省发明专利百强榜奖励2万元；202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年新认定的省级以上专利导航服务基地</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课题研究项目，一次性分别奖</w:t>
      </w:r>
      <w:bookmarkStart w:id="0" w:name="_GoBack"/>
      <w:bookmarkEnd w:id="0"/>
      <w:r>
        <w:rPr>
          <w:rFonts w:hint="eastAsia" w:ascii="仿宋_GB2312" w:hAnsi="仿宋_GB2312" w:eastAsia="仿宋_GB2312" w:cs="仿宋_GB2312"/>
          <w:sz w:val="32"/>
          <w:szCs w:val="32"/>
        </w:rPr>
        <w:t>励10万元、5万元；202</w:t>
      </w:r>
      <w:r>
        <w:rPr>
          <w:rFonts w:hint="eastAsia" w:ascii="仿宋_GB2312" w:hAnsi="仿宋_GB2312" w:eastAsia="仿宋_GB2312" w:cs="仿宋_GB2312"/>
          <w:sz w:val="32"/>
          <w:szCs w:val="32"/>
          <w:lang w:val="en-US" w:eastAsia="zh-CN"/>
        </w:rPr>
        <w:t>3年度、2024年度</w:t>
      </w:r>
      <w:r>
        <w:rPr>
          <w:rFonts w:hint="eastAsia" w:ascii="仿宋_GB2312" w:hAnsi="仿宋_GB2312" w:eastAsia="仿宋_GB2312" w:cs="仿宋_GB2312"/>
          <w:sz w:val="32"/>
          <w:szCs w:val="32"/>
        </w:rPr>
        <w:t>新认定的安徽省商标品牌示范企业，一次性奖励2.5万元</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符合本县产业发展的企业发明专利权质押贷款500万元(含)以下，且已还款结束的</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给予同期贷款基准利率（LPR)25%的贷款贴息。</w:t>
      </w:r>
    </w:p>
    <w:p w14:paraId="4E9427C6">
      <w:pPr>
        <w:spacing w:line="56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④202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年专利权人维权胜诉的企业</w:t>
      </w:r>
      <w:r>
        <w:rPr>
          <w:rFonts w:hint="eastAsia" w:ascii="仿宋_GB2312" w:hAnsi="仿宋_GB2312" w:eastAsia="仿宋_GB2312" w:cs="仿宋_GB2312"/>
          <w:sz w:val="32"/>
          <w:szCs w:val="32"/>
          <w:lang w:val="en-US" w:eastAsia="zh-CN"/>
        </w:rPr>
        <w:t>,按20%的比例给予一次性维权费用资助，国内维权不超过1万元，涉外维权不超过5万元</w:t>
      </w:r>
      <w:r>
        <w:rPr>
          <w:rFonts w:hint="eastAsia" w:ascii="仿宋_GB2312" w:hAnsi="仿宋_GB2312" w:eastAsia="仿宋_GB2312" w:cs="仿宋_GB2312"/>
          <w:sz w:val="32"/>
          <w:szCs w:val="32"/>
        </w:rPr>
        <w:t>。</w:t>
      </w:r>
    </w:p>
    <w:p w14:paraId="06965B38">
      <w:pPr>
        <w:spacing w:line="560" w:lineRule="exact"/>
        <w:ind w:firstLine="630" w:firstLineChars="196"/>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（2）申报材料</w:t>
      </w:r>
    </w:p>
    <w:p w14:paraId="52216590">
      <w:pPr>
        <w:spacing w:line="560" w:lineRule="exact"/>
        <w:ind w:firstLine="640" w:firstLineChars="200"/>
        <w:contextualSpacing/>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①基本材料、项目汇总表（表2）。</w:t>
      </w:r>
    </w:p>
    <w:p w14:paraId="0730C72C">
      <w:pPr>
        <w:spacing w:line="560" w:lineRule="exact"/>
        <w:ind w:firstLine="640" w:firstLineChars="200"/>
        <w:contextualSpacing/>
        <w:rPr>
          <w:rFonts w:hint="eastAsia" w:ascii="仿宋_GB2312" w:eastAsia="仿宋_GB2312"/>
          <w:sz w:val="32"/>
          <w:szCs w:val="32"/>
        </w:rPr>
      </w:pPr>
      <w:r>
        <w:rPr>
          <w:rFonts w:hint="eastAsia" w:ascii="仿宋_GB2312" w:hAnsi="仿宋_GB2312" w:eastAsia="仿宋_GB2312" w:cs="仿宋_GB2312"/>
          <w:sz w:val="32"/>
          <w:szCs w:val="32"/>
        </w:rPr>
        <w:t>②</w:t>
      </w:r>
      <w:r>
        <w:rPr>
          <w:rFonts w:hint="eastAsia" w:ascii="仿宋_GB2312" w:eastAsia="仿宋_GB2312"/>
          <w:sz w:val="32"/>
          <w:szCs w:val="32"/>
        </w:rPr>
        <w:t>鼓励知识产权创造：国</w:t>
      </w:r>
      <w:r>
        <w:rPr>
          <w:rFonts w:hint="eastAsia" w:ascii="仿宋_GB2312" w:eastAsia="仿宋_GB2312"/>
          <w:sz w:val="32"/>
          <w:szCs w:val="32"/>
          <w:lang w:eastAsia="zh-CN"/>
        </w:rPr>
        <w:t>内</w:t>
      </w:r>
      <w:r>
        <w:rPr>
          <w:rFonts w:hint="eastAsia" w:ascii="仿宋_GB2312" w:eastAsia="仿宋_GB2312"/>
          <w:sz w:val="32"/>
          <w:szCs w:val="32"/>
        </w:rPr>
        <w:t>发明专利</w:t>
      </w:r>
      <w:r>
        <w:rPr>
          <w:rFonts w:hint="eastAsia" w:ascii="仿宋_GB2312" w:eastAsia="仿宋_GB2312"/>
          <w:sz w:val="32"/>
          <w:szCs w:val="32"/>
          <w:lang w:eastAsia="zh-CN"/>
        </w:rPr>
        <w:t>和实用新型专利</w:t>
      </w:r>
      <w:r>
        <w:rPr>
          <w:rFonts w:hint="eastAsia" w:ascii="仿宋_GB2312" w:eastAsia="仿宋_GB2312"/>
          <w:sz w:val="32"/>
          <w:szCs w:val="32"/>
        </w:rPr>
        <w:t>授权的专利证书复印件</w:t>
      </w:r>
      <w:r>
        <w:rPr>
          <w:rFonts w:hint="eastAsia" w:ascii="仿宋_GB2312" w:eastAsia="仿宋_GB2312"/>
          <w:sz w:val="32"/>
          <w:szCs w:val="32"/>
          <w:lang w:eastAsia="zh-CN"/>
        </w:rPr>
        <w:t>；</w:t>
      </w:r>
      <w:r>
        <w:rPr>
          <w:rFonts w:hint="eastAsia" w:ascii="仿宋_GB2312" w:eastAsia="仿宋_GB2312"/>
          <w:sz w:val="32"/>
          <w:szCs w:val="32"/>
        </w:rPr>
        <w:t>国外授权发明专利授权的专利证书复印件；申请量奖励的提交清单（有申请日）及发明专利申请受理通知书复印件；授权量奖励的提交清单（有授权公告日）及发明专利授权专利证书复印件；单位申请奖励的提交营业执照，个人申请奖励的提交身份证复印件；共有专利权的，应提供全部共有人的声明和签章。</w:t>
      </w:r>
    </w:p>
    <w:p w14:paraId="63053317">
      <w:pPr>
        <w:spacing w:line="560" w:lineRule="exact"/>
        <w:ind w:firstLine="640" w:firstLineChars="200"/>
        <w:contextualSpacing/>
        <w:rPr>
          <w:rFonts w:hint="eastAsia" w:ascii="仿宋_GB2312" w:eastAsia="仿宋_GB2312"/>
          <w:sz w:val="32"/>
          <w:szCs w:val="32"/>
        </w:rPr>
      </w:pPr>
      <w:r>
        <w:rPr>
          <w:rFonts w:hint="eastAsia" w:ascii="仿宋_GB2312" w:hAnsi="仿宋_GB2312" w:eastAsia="仿宋_GB2312" w:cs="仿宋_GB2312"/>
          <w:sz w:val="32"/>
          <w:szCs w:val="32"/>
        </w:rPr>
        <w:t>③</w:t>
      </w:r>
      <w:r>
        <w:rPr>
          <w:rFonts w:hint="eastAsia" w:ascii="仿宋_GB2312" w:eastAsia="仿宋_GB2312"/>
          <w:sz w:val="32"/>
          <w:szCs w:val="32"/>
        </w:rPr>
        <w:t>提升知识产权质量：提交获奖文件、证书或奖牌复印件。</w:t>
      </w:r>
    </w:p>
    <w:p w14:paraId="4461C41F">
      <w:pPr>
        <w:spacing w:line="560" w:lineRule="exact"/>
        <w:ind w:firstLine="640" w:firstLineChars="200"/>
        <w:contextualSpacing/>
        <w:jc w:val="left"/>
        <w:rPr>
          <w:rFonts w:hint="eastAsia" w:ascii="仿宋_GB2312" w:eastAsia="仿宋_GB2312"/>
          <w:sz w:val="32"/>
          <w:szCs w:val="32"/>
          <w:lang w:eastAsia="zh-CN"/>
        </w:rPr>
      </w:pPr>
      <w:r>
        <w:rPr>
          <w:rFonts w:hint="eastAsia" w:ascii="仿宋_GB2312" w:hAnsi="仿宋_GB2312" w:eastAsia="仿宋_GB2312" w:cs="仿宋_GB2312"/>
          <w:sz w:val="32"/>
          <w:szCs w:val="32"/>
        </w:rPr>
        <w:t>④</w:t>
      </w:r>
      <w:r>
        <w:rPr>
          <w:rFonts w:hint="eastAsia" w:ascii="仿宋_GB2312" w:eastAsia="仿宋_GB2312"/>
          <w:sz w:val="32"/>
          <w:szCs w:val="32"/>
        </w:rPr>
        <w:t>推进知识产权运用：提交认定的文件或奖牌复印件</w:t>
      </w:r>
      <w:r>
        <w:rPr>
          <w:rFonts w:hint="eastAsia" w:ascii="仿宋_GB2312" w:eastAsia="仿宋_GB2312"/>
          <w:sz w:val="32"/>
          <w:szCs w:val="32"/>
          <w:lang w:eastAsia="zh-CN"/>
        </w:rPr>
        <w:t>。</w:t>
      </w:r>
    </w:p>
    <w:p w14:paraId="035F37B7">
      <w:pPr>
        <w:spacing w:line="560" w:lineRule="exact"/>
        <w:ind w:firstLine="640" w:firstLineChars="200"/>
        <w:contextualSpacing/>
        <w:rPr>
          <w:rFonts w:hint="eastAsia" w:ascii="仿宋_GB2312" w:eastAsia="仿宋_GB2312"/>
          <w:sz w:val="32"/>
          <w:szCs w:val="32"/>
        </w:rPr>
      </w:pPr>
      <w:r>
        <w:rPr>
          <w:rFonts w:hint="eastAsia" w:ascii="仿宋_GB2312" w:hAnsi="仿宋_GB2312" w:eastAsia="仿宋_GB2312" w:cs="仿宋_GB2312"/>
          <w:sz w:val="32"/>
          <w:szCs w:val="32"/>
        </w:rPr>
        <w:t>⑤</w:t>
      </w:r>
      <w:r>
        <w:rPr>
          <w:rFonts w:hint="eastAsia" w:ascii="仿宋_GB2312" w:eastAsia="仿宋_GB2312"/>
          <w:sz w:val="32"/>
          <w:szCs w:val="32"/>
        </w:rPr>
        <w:t>发明专利质押贷款企业提交：</w:t>
      </w:r>
      <w:r>
        <w:rPr>
          <w:rFonts w:hint="eastAsia" w:ascii="仿宋_GB2312" w:eastAsia="仿宋_GB2312"/>
          <w:sz w:val="32"/>
          <w:szCs w:val="32"/>
          <w:lang w:eastAsia="zh-CN"/>
        </w:rPr>
        <w:t>休宁县专利权质押贷款资助申请表（表</w:t>
      </w:r>
      <w:r>
        <w:rPr>
          <w:rFonts w:hint="eastAsia" w:ascii="仿宋_GB2312" w:eastAsia="仿宋_GB2312"/>
          <w:sz w:val="32"/>
          <w:szCs w:val="32"/>
          <w:lang w:val="en-US" w:eastAsia="zh-CN"/>
        </w:rPr>
        <w:t>3</w:t>
      </w:r>
      <w:r>
        <w:rPr>
          <w:rFonts w:hint="eastAsia" w:ascii="仿宋_GB2312" w:eastAsia="仿宋_GB2312"/>
          <w:sz w:val="32"/>
          <w:szCs w:val="32"/>
          <w:lang w:eastAsia="zh-CN"/>
        </w:rPr>
        <w:t>）、</w:t>
      </w:r>
      <w:r>
        <w:rPr>
          <w:rFonts w:hint="eastAsia" w:ascii="仿宋_GB2312" w:eastAsia="仿宋_GB2312"/>
          <w:sz w:val="32"/>
          <w:szCs w:val="32"/>
        </w:rPr>
        <w:t>申报市市场监督管理局奖补材料、市市场监督管理局补助银行进账单。</w:t>
      </w:r>
    </w:p>
    <w:p w14:paraId="259E202C">
      <w:pPr>
        <w:spacing w:line="560" w:lineRule="exact"/>
        <w:ind w:firstLine="640" w:firstLineChars="200"/>
        <w:contextualSpacing/>
        <w:rPr>
          <w:rFonts w:hint="eastAsia" w:ascii="仿宋_GB2312" w:eastAsia="仿宋_GB2312"/>
          <w:sz w:val="32"/>
          <w:szCs w:val="32"/>
        </w:rPr>
      </w:pPr>
      <w:r>
        <w:rPr>
          <w:rFonts w:hint="eastAsia" w:ascii="仿宋_GB2312" w:eastAsia="仿宋_GB2312"/>
          <w:sz w:val="32"/>
          <w:szCs w:val="32"/>
        </w:rPr>
        <w:t>⑥专利权人维权胜诉的企业提交：国内维权、涉外维权的相关法律文书、费用支付清单。</w:t>
      </w:r>
    </w:p>
    <w:p w14:paraId="68CC7265">
      <w:pPr>
        <w:spacing w:line="560" w:lineRule="exact"/>
        <w:ind w:firstLine="472" w:firstLineChars="147"/>
        <w:rPr>
          <w:rFonts w:hint="eastAsia" w:ascii="仿宋_GB2312" w:hAnsi="仿宋_GB2312" w:eastAsia="仿宋_GB2312" w:cs="仿宋_GB2312"/>
          <w:b/>
          <w:sz w:val="32"/>
          <w:szCs w:val="32"/>
        </w:rPr>
      </w:pPr>
      <w:r>
        <w:rPr>
          <w:rFonts w:hint="eastAsia" w:ascii="仿宋_GB2312" w:hAnsi="仿宋_GB2312" w:eastAsia="仿宋_GB2312" w:cs="仿宋_GB2312"/>
          <w:b/>
          <w:bCs/>
          <w:sz w:val="32"/>
          <w:szCs w:val="32"/>
        </w:rPr>
        <w:t>（3）</w:t>
      </w:r>
      <w:r>
        <w:rPr>
          <w:rFonts w:hint="eastAsia" w:ascii="仿宋_GB2312" w:hAnsi="仿宋_GB2312" w:eastAsia="仿宋_GB2312" w:cs="仿宋_GB2312"/>
          <w:b/>
          <w:sz w:val="32"/>
          <w:szCs w:val="32"/>
        </w:rPr>
        <w:t>支持方式</w:t>
      </w:r>
    </w:p>
    <w:p w14:paraId="751725A2">
      <w:pPr>
        <w:spacing w:line="56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w:t>
      </w:r>
      <w:r>
        <w:rPr>
          <w:rFonts w:hint="eastAsia" w:ascii="仿宋_GB2312" w:hAnsi="仿宋_GB2312" w:eastAsia="仿宋_GB2312" w:cs="仿宋_GB2312"/>
          <w:sz w:val="32"/>
          <w:szCs w:val="32"/>
          <w:lang w:eastAsia="zh-CN"/>
        </w:rPr>
        <w:t>休宁县</w:t>
      </w:r>
      <w:r>
        <w:rPr>
          <w:rFonts w:hint="eastAsia" w:ascii="仿宋_GB2312" w:hAnsi="仿宋_GB2312" w:eastAsia="仿宋_GB2312" w:cs="仿宋_GB2312"/>
          <w:sz w:val="32"/>
          <w:szCs w:val="32"/>
        </w:rPr>
        <w:t>人民政府办公室关于印发</w:t>
      </w:r>
      <w:r>
        <w:rPr>
          <w:rFonts w:hint="eastAsia" w:ascii="仿宋_GB2312" w:hAnsi="仿宋_GB2312" w:eastAsia="仿宋_GB2312" w:cs="仿宋_GB2312"/>
          <w:sz w:val="32"/>
          <w:szCs w:val="32"/>
          <w:lang w:eastAsia="zh-CN"/>
        </w:rPr>
        <w:t>休宁县</w:t>
      </w:r>
      <w:r>
        <w:rPr>
          <w:rFonts w:hint="eastAsia" w:ascii="仿宋_GB2312" w:hAnsi="仿宋_GB2312" w:eastAsia="仿宋_GB2312" w:cs="仿宋_GB2312"/>
          <w:sz w:val="32"/>
          <w:szCs w:val="32"/>
        </w:rPr>
        <w:t>促进质量提升若干政策的通知》制定的标准予以奖励。</w:t>
      </w:r>
    </w:p>
    <w:p w14:paraId="7A1D340E">
      <w:pPr>
        <w:spacing w:line="560" w:lineRule="exact"/>
        <w:ind w:firstLine="627" w:firstLineChars="196"/>
        <w:jc w:val="left"/>
        <w:rPr>
          <w:rFonts w:hint="eastAsia" w:ascii="黑体" w:hAnsi="黑体" w:eastAsia="黑体" w:cs="黑体"/>
          <w:sz w:val="32"/>
          <w:szCs w:val="32"/>
        </w:rPr>
      </w:pPr>
      <w:r>
        <w:rPr>
          <w:rFonts w:hint="eastAsia" w:ascii="黑体" w:hAnsi="黑体" w:eastAsia="黑体" w:cs="黑体"/>
          <w:sz w:val="32"/>
          <w:szCs w:val="32"/>
        </w:rPr>
        <w:t>第二部分 申报、审核的程序</w:t>
      </w:r>
    </w:p>
    <w:p w14:paraId="079A01BE">
      <w:pPr>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w:t>
      </w:r>
      <w:r>
        <w:rPr>
          <w:rFonts w:hint="eastAsia" w:ascii="楷体_GB2312" w:hAnsi="楷体_GB2312" w:eastAsia="楷体_GB2312" w:cs="楷体_GB2312"/>
          <w:b/>
          <w:bCs/>
          <w:sz w:val="32"/>
          <w:szCs w:val="32"/>
        </w:rPr>
        <w:t>申报</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由申报单位，根据《申报指南》对项目实施的可行性以及预期绩效目标进行充分论证后，向县</w:t>
      </w:r>
      <w:r>
        <w:rPr>
          <w:rFonts w:hint="eastAsia" w:ascii="仿宋_GB2312" w:hAnsi="仿宋_GB2312" w:eastAsia="仿宋_GB2312" w:cs="仿宋_GB2312"/>
          <w:sz w:val="32"/>
          <w:szCs w:val="32"/>
          <w:lang w:eastAsia="zh-CN"/>
        </w:rPr>
        <w:t>市场监督管理局</w:t>
      </w:r>
      <w:r>
        <w:rPr>
          <w:rFonts w:hint="eastAsia" w:ascii="仿宋_GB2312" w:hAnsi="仿宋_GB2312" w:eastAsia="仿宋_GB2312" w:cs="仿宋_GB2312"/>
          <w:sz w:val="32"/>
          <w:szCs w:val="32"/>
        </w:rPr>
        <w:t>提出书面申请。</w:t>
      </w:r>
    </w:p>
    <w:p w14:paraId="4592D12D">
      <w:pPr>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w:t>
      </w:r>
      <w:r>
        <w:rPr>
          <w:rFonts w:hint="eastAsia" w:ascii="楷体_GB2312" w:hAnsi="楷体_GB2312" w:eastAsia="楷体_GB2312" w:cs="楷体_GB2312"/>
          <w:b/>
          <w:bCs/>
          <w:sz w:val="32"/>
          <w:szCs w:val="32"/>
        </w:rPr>
        <w:t>评审</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县</w:t>
      </w:r>
      <w:r>
        <w:rPr>
          <w:rFonts w:hint="eastAsia" w:ascii="仿宋_GB2312" w:hAnsi="仿宋_GB2312" w:eastAsia="仿宋_GB2312" w:cs="仿宋_GB2312"/>
          <w:sz w:val="32"/>
          <w:szCs w:val="32"/>
          <w:lang w:eastAsia="zh-CN"/>
        </w:rPr>
        <w:t>市场监督管理局</w:t>
      </w:r>
      <w:r>
        <w:rPr>
          <w:rFonts w:hint="eastAsia" w:ascii="仿宋_GB2312" w:hAnsi="仿宋_GB2312" w:eastAsia="仿宋_GB2312" w:cs="仿宋_GB2312"/>
          <w:sz w:val="32"/>
          <w:szCs w:val="32"/>
        </w:rPr>
        <w:t>相关股室对申报项目真实性及申报材料真实性进行审查，对申报文本中相关材料及全部票据原件进行现场审核比对，经公示后，报县政府研定。</w:t>
      </w:r>
    </w:p>
    <w:p w14:paraId="18C7DAE6">
      <w:pPr>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w:t>
      </w:r>
      <w:r>
        <w:rPr>
          <w:rFonts w:hint="eastAsia" w:ascii="楷体_GB2312" w:hAnsi="楷体_GB2312" w:eastAsia="楷体_GB2312" w:cs="楷体_GB2312"/>
          <w:b/>
          <w:bCs/>
          <w:sz w:val="32"/>
          <w:szCs w:val="32"/>
        </w:rPr>
        <w:t>资金拨付</w:t>
      </w:r>
      <w:r>
        <w:rPr>
          <w:rFonts w:hint="eastAsia" w:ascii="仿宋_GB2312" w:hAnsi="仿宋_GB2312" w:eastAsia="仿宋_GB2312" w:cs="仿宋_GB2312"/>
          <w:b/>
          <w:bCs/>
          <w:sz w:val="32"/>
          <w:szCs w:val="32"/>
        </w:rPr>
        <w:t xml:space="preserve"> </w:t>
      </w:r>
      <w:r>
        <w:rPr>
          <w:rFonts w:hint="eastAsia" w:ascii="仿宋_GB2312" w:hAnsi="仿宋_GB2312" w:eastAsia="仿宋_GB2312" w:cs="仿宋_GB2312"/>
          <w:sz w:val="32"/>
          <w:szCs w:val="32"/>
        </w:rPr>
        <w:t>经县政府研定的项目资金由县财政局及时拨付到项目单位。</w:t>
      </w:r>
    </w:p>
    <w:p w14:paraId="74B0E900">
      <w:pPr>
        <w:spacing w:line="560" w:lineRule="exact"/>
        <w:ind w:firstLine="627" w:firstLineChars="196"/>
        <w:jc w:val="left"/>
        <w:rPr>
          <w:rFonts w:hint="eastAsia" w:ascii="黑体" w:hAnsi="黑体" w:eastAsia="黑体" w:cs="黑体"/>
          <w:sz w:val="32"/>
          <w:szCs w:val="32"/>
        </w:rPr>
      </w:pPr>
      <w:r>
        <w:rPr>
          <w:rFonts w:hint="eastAsia" w:ascii="黑体" w:hAnsi="黑体" w:eastAsia="黑体" w:cs="黑体"/>
          <w:sz w:val="32"/>
          <w:szCs w:val="32"/>
        </w:rPr>
        <w:t>第三部分 管理监督</w:t>
      </w:r>
    </w:p>
    <w:p w14:paraId="3CD79052">
      <w:pPr>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（一）</w:t>
      </w:r>
      <w:r>
        <w:rPr>
          <w:rFonts w:hint="eastAsia" w:ascii="仿宋_GB2312" w:hAnsi="仿宋_GB2312" w:eastAsia="仿宋_GB2312" w:cs="仿宋_GB2312"/>
          <w:sz w:val="32"/>
          <w:szCs w:val="32"/>
        </w:rPr>
        <w:t>申报单位对申报材料的真实性负责，对弄虚作假骗取或重复申报奖补资金，截留、挪用、转移或侵占奖补资金，擅自改变承诺实施事项等行为，视情况责令限期整改、停止拨付资金、限期收回已拨付的资金。对触犯法律的单位和个人，由司法机关依法追究其法律责任。</w:t>
      </w:r>
    </w:p>
    <w:p w14:paraId="178F13A6">
      <w:pPr>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（二）</w:t>
      </w:r>
      <w:r>
        <w:rPr>
          <w:rFonts w:hint="eastAsia" w:ascii="仿宋_GB2312" w:hAnsi="仿宋_GB2312" w:eastAsia="仿宋_GB2312" w:cs="仿宋_GB2312"/>
          <w:sz w:val="32"/>
          <w:szCs w:val="32"/>
        </w:rPr>
        <w:t>当年发生安全生产、产品质量、食品安全、环境污染等责任事故受到查处的，以及被列为失信被执行人的，不纳入本政策支持范围。</w:t>
      </w:r>
    </w:p>
    <w:p w14:paraId="459A1D28">
      <w:pPr>
        <w:tabs>
          <w:tab w:val="left" w:pos="851"/>
        </w:tabs>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（三）</w:t>
      </w:r>
      <w:r>
        <w:rPr>
          <w:rFonts w:hint="eastAsia" w:ascii="仿宋_GB2312" w:hAnsi="仿宋_GB2312" w:eastAsia="仿宋_GB2312" w:cs="仿宋_GB2312"/>
          <w:sz w:val="32"/>
          <w:szCs w:val="32"/>
        </w:rPr>
        <w:t>相关事项涉及的会计、审计等中介机构对其出具的报告的真实性、公正性负责。</w:t>
      </w:r>
    </w:p>
    <w:p w14:paraId="72ED6CBC">
      <w:pPr>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（四）</w:t>
      </w:r>
      <w:r>
        <w:rPr>
          <w:rFonts w:hint="eastAsia" w:ascii="仿宋_GB2312" w:hAnsi="仿宋_GB2312" w:eastAsia="仿宋_GB2312" w:cs="仿宋_GB2312"/>
          <w:sz w:val="32"/>
          <w:szCs w:val="32"/>
        </w:rPr>
        <w:t>申报指南以当年出台为准，当年申报通知有规定的事项，以当年申报通知为准。</w:t>
      </w:r>
    </w:p>
    <w:p w14:paraId="466DB2A3">
      <w:pPr>
        <w:spacing w:line="560" w:lineRule="exact"/>
        <w:ind w:firstLine="630" w:firstLineChars="196"/>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b/>
          <w:bCs/>
          <w:sz w:val="32"/>
          <w:szCs w:val="32"/>
          <w:lang w:eastAsia="zh-CN"/>
        </w:rPr>
        <w:t>五</w:t>
      </w: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lang w:val="en-US" w:eastAsia="zh-CN"/>
        </w:rPr>
        <w:t>对同一项目或事项，与我县其他现有政策存在重复、交叉的，按照“从优、从高、从新”的原则执行，不重复享受奖励。</w:t>
      </w:r>
    </w:p>
    <w:p w14:paraId="75F868D9">
      <w:pPr>
        <w:spacing w:line="560" w:lineRule="exact"/>
        <w:ind w:firstLine="627" w:firstLineChars="19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本申报指南自公布之日起执行，由</w:t>
      </w:r>
      <w:r>
        <w:rPr>
          <w:rFonts w:hint="eastAsia" w:ascii="仿宋_GB2312" w:hAnsi="仿宋_GB2312" w:eastAsia="仿宋_GB2312" w:cs="仿宋_GB2312"/>
          <w:sz w:val="32"/>
          <w:szCs w:val="32"/>
          <w:lang w:eastAsia="zh-CN"/>
        </w:rPr>
        <w:t>县市场监督管理局</w:t>
      </w:r>
      <w:r>
        <w:rPr>
          <w:rFonts w:hint="eastAsia" w:ascii="仿宋_GB2312" w:hAnsi="仿宋_GB2312" w:eastAsia="仿宋_GB2312" w:cs="仿宋_GB2312"/>
          <w:sz w:val="32"/>
          <w:szCs w:val="32"/>
        </w:rPr>
        <w:t>负责解释。</w:t>
      </w:r>
    </w:p>
    <w:p w14:paraId="79E19F7B">
      <w:pPr>
        <w:spacing w:line="500" w:lineRule="exact"/>
        <w:rPr>
          <w:rFonts w:hint="eastAsia" w:ascii="Times New Roman" w:hAnsi="Times New Roman" w:eastAsia="仿宋_GB2312"/>
          <w:b/>
          <w:color w:val="000000"/>
          <w:sz w:val="32"/>
          <w:szCs w:val="32"/>
        </w:rPr>
      </w:pPr>
    </w:p>
    <w:p w14:paraId="4E0E1F54"/>
    <w:p w14:paraId="0C3B6244"/>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12AD72-2965-4BDD-8F4D-1FAC7CB8FCF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00000001" w:usb1="080E0000" w:usb2="00000000" w:usb3="00000000" w:csb0="00040000" w:csb1="00000000"/>
    <w:embedRegular r:id="rId2" w:fontKey="{F009403F-D653-4830-A459-737004161F2D}"/>
  </w:font>
  <w:font w:name="仿宋_GB2312">
    <w:panose1 w:val="02010609030101010101"/>
    <w:charset w:val="86"/>
    <w:family w:val="modern"/>
    <w:pitch w:val="default"/>
    <w:sig w:usb0="00000001" w:usb1="080E0000" w:usb2="00000000" w:usb3="00000000" w:csb0="00040000" w:csb1="00000000"/>
    <w:embedRegular r:id="rId3" w:fontKey="{6E9D17D8-71AE-4F13-943C-9E447EF5BEE4}"/>
  </w:font>
  <w:font w:name="楷体_GB2312">
    <w:panose1 w:val="02010609030101010101"/>
    <w:charset w:val="86"/>
    <w:family w:val="modern"/>
    <w:pitch w:val="default"/>
    <w:sig w:usb0="00000001" w:usb1="080E0000" w:usb2="00000000" w:usb3="00000000" w:csb0="00040000" w:csb1="00000000"/>
    <w:embedRegular r:id="rId4" w:fontKey="{E3754D5E-B337-45A8-8C7F-E24785342CA3}"/>
  </w:font>
  <w:font w:name="TimesNewRomanPSMT">
    <w:altName w:val="Times New Roman"/>
    <w:panose1 w:val="00000000000000000000"/>
    <w:charset w:val="00"/>
    <w:family w:val="auto"/>
    <w:pitch w:val="default"/>
    <w:sig w:usb0="00000000" w:usb1="00000000" w:usb2="00000000" w:usb3="00000000" w:csb0="00000000" w:csb1="00000000"/>
    <w:embedRegular r:id="rId5" w:fontKey="{EE174EB0-C0B0-4DCD-B76C-9170262E57C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E919">
    <w:pPr>
      <w:pStyle w:val="2"/>
    </w:pPr>
    <w:r>
      <w:pict>
        <v:shape id="_x0000_s1025" o:spid="_x0000_s1025"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14:paraId="4F7EB64C">
                <w:pPr>
                  <w:pStyle w:val="2"/>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8</w:t>
                </w:r>
                <w:r>
                  <w:rPr>
                    <w:rFonts w:hint="eastAsia"/>
                  </w:rPr>
                  <w:fldChar w:fldCharType="end"/>
                </w:r>
                <w:r>
                  <w:rPr>
                    <w:rFonts w:hint="eastAsia"/>
                  </w:rPr>
                  <w:t xml:space="preserve"> 页 共 </w:t>
                </w:r>
                <w:r>
                  <w:fldChar w:fldCharType="begin"/>
                </w:r>
                <w:r>
                  <w:instrText xml:space="preserve"> NUMPAGES  \* MERGEFORMAT </w:instrText>
                </w:r>
                <w:r>
                  <w:fldChar w:fldCharType="separate"/>
                </w:r>
                <w:r>
                  <w:t>9</w:t>
                </w:r>
                <w:r>
                  <w:fldChar w:fldCharType="end"/>
                </w:r>
                <w:r>
                  <w:rPr>
                    <w:rFonts w:hint="eastAsia"/>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mYzNGY4YzU3OWIwMmE1NjRmMjgxZjE3NjRiMWNmYTIifQ=="/>
  </w:docVars>
  <w:rsids>
    <w:rsidRoot w:val="004F2D7C"/>
    <w:rsid w:val="00012F84"/>
    <w:rsid w:val="002949BB"/>
    <w:rsid w:val="004F2D7C"/>
    <w:rsid w:val="00695CA0"/>
    <w:rsid w:val="007E7460"/>
    <w:rsid w:val="00AD6AFC"/>
    <w:rsid w:val="00B92A44"/>
    <w:rsid w:val="00C2487E"/>
    <w:rsid w:val="00DE3CD0"/>
    <w:rsid w:val="00E77F74"/>
    <w:rsid w:val="00FE761B"/>
    <w:rsid w:val="03530009"/>
    <w:rsid w:val="04D035F5"/>
    <w:rsid w:val="073836D3"/>
    <w:rsid w:val="08114650"/>
    <w:rsid w:val="0CC25F19"/>
    <w:rsid w:val="19D11E91"/>
    <w:rsid w:val="1A4E703E"/>
    <w:rsid w:val="1D5E3A3C"/>
    <w:rsid w:val="20DD55C0"/>
    <w:rsid w:val="27112CAD"/>
    <w:rsid w:val="28F44A19"/>
    <w:rsid w:val="2D893AE8"/>
    <w:rsid w:val="36154A5C"/>
    <w:rsid w:val="38635F53"/>
    <w:rsid w:val="3B57684D"/>
    <w:rsid w:val="42B37AD7"/>
    <w:rsid w:val="42DC702D"/>
    <w:rsid w:val="480D7C89"/>
    <w:rsid w:val="4A8A0DCB"/>
    <w:rsid w:val="4FD47868"/>
    <w:rsid w:val="572D3CEB"/>
    <w:rsid w:val="59747B68"/>
    <w:rsid w:val="599444D4"/>
    <w:rsid w:val="5FCD04CD"/>
    <w:rsid w:val="645E569D"/>
    <w:rsid w:val="668533B4"/>
    <w:rsid w:val="66D3445B"/>
    <w:rsid w:val="69D91A88"/>
    <w:rsid w:val="6B5E5F82"/>
    <w:rsid w:val="6BAF4A30"/>
    <w:rsid w:val="6BC04E8F"/>
    <w:rsid w:val="7778661E"/>
    <w:rsid w:val="7E835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宋体" w:eastAsia="宋体" w:cs="宋体"/>
      <w:kern w:val="0"/>
      <w:sz w:val="21"/>
      <w:szCs w:val="20"/>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5"/>
    <w:qFormat/>
    <w:uiPriority w:val="0"/>
    <w:pPr>
      <w:tabs>
        <w:tab w:val="center" w:pos="4153"/>
        <w:tab w:val="right" w:pos="8306"/>
      </w:tabs>
      <w:snapToGrid w:val="0"/>
      <w:jc w:val="left"/>
    </w:pPr>
    <w:rPr>
      <w:sz w:val="18"/>
    </w:rPr>
  </w:style>
  <w:style w:type="character" w:customStyle="1" w:styleId="5">
    <w:name w:val="页脚 Char"/>
    <w:basedOn w:val="4"/>
    <w:link w:val="2"/>
    <w:qFormat/>
    <w:uiPriority w:val="0"/>
    <w:rPr>
      <w:rFonts w:ascii="Calibri" w:hAnsi="宋体" w:eastAsia="宋体" w:cs="宋体"/>
      <w:kern w:val="0"/>
      <w:sz w:val="18"/>
      <w:szCs w:val="20"/>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1753</Words>
  <Characters>1807</Characters>
  <Lines>25</Lines>
  <Paragraphs>7</Paragraphs>
  <TotalTime>1</TotalTime>
  <ScaleCrop>false</ScaleCrop>
  <LinksUpToDate>false</LinksUpToDate>
  <CharactersWithSpaces>1815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2023-02-09T06:54:00Z</dcterms:created>
  <dc:creator>Administrator</dc:creator>
  <cp:lastModifiedBy>青叶</cp:lastModifiedBy>
  <cp:lastPrinted>2024-12-12T02:36:00Z</cp:lastPrinted>
  <dcterms:modified xsi:type="dcterms:W3CDTF">2025-03-24T08:22:00Z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D08A462F539F42FA8DE723EB3A0D03B5</vt:lpwstr>
  </property>
  <property fmtid="{D5CDD505-2E9C-101B-9397-08002B2CF9AE}" pid="4" name="KSOTemplateDocerSaveRecord">
    <vt:lpwstr>eyJoZGlkIjoiOTM2OTVmZThmZjY0YjQ2OWIyZDIwNzJmODRlZDU1NzMiLCJ1c2VySWQiOiIyOTY4OTgyNjYifQ==</vt:lpwstr>
  </property>
</Properties>
</file>