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pStyle w:val="13"/>
        <w:rPr>
          <w:color w:val="000000"/>
          <w:sz w:val="19"/>
          <w:szCs w:val="19"/>
          <w:lang w:eastAsia="zh-CN"/>
        </w:rPr>
      </w:pPr>
      <w:r>
        <w:rPr>
          <w:b/>
          <w:bCs/>
          <w:color w:val="000000"/>
        </w:rPr>
        <w:t>中央对地方转移支付绩效目标自评表</w:t>
      </w:r>
      <w:r>
        <w:rPr>
          <w:color w:val="000000"/>
        </w:rPr>
        <w:t>（20</w:t>
      </w:r>
      <w:r>
        <w:rPr>
          <w:rFonts w:hint="eastAsia"/>
          <w:color w:val="000000"/>
          <w:lang w:val="en-US" w:eastAsia="zh-CN"/>
        </w:rPr>
        <w:t>24</w:t>
      </w:r>
      <w:r>
        <w:rPr>
          <w:color w:val="000000"/>
          <w:sz w:val="19"/>
          <w:szCs w:val="19"/>
        </w:rPr>
        <w:t>年度）</w:t>
      </w:r>
    </w:p>
    <w:tbl>
      <w:tblPr>
        <w:tblStyle w:val="7"/>
        <w:tblW w:w="965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2"/>
        <w:gridCol w:w="495"/>
        <w:gridCol w:w="1200"/>
        <w:gridCol w:w="1527"/>
        <w:gridCol w:w="2613"/>
        <w:gridCol w:w="1144"/>
        <w:gridCol w:w="1020"/>
        <w:gridCol w:w="10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eastAsia="zh-CN"/>
              </w:rPr>
              <w:t xml:space="preserve">    </w:t>
            </w:r>
            <w:r>
              <w:rPr>
                <w:color w:val="000000"/>
                <w:sz w:val="19"/>
                <w:szCs w:val="19"/>
              </w:rPr>
              <w:t>专项（项目）名称</w:t>
            </w:r>
          </w:p>
        </w:tc>
        <w:tc>
          <w:tcPr>
            <w:tcW w:w="73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国家基本公共卫生服务项目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中央主管部门</w:t>
            </w:r>
          </w:p>
        </w:tc>
        <w:tc>
          <w:tcPr>
            <w:tcW w:w="73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国家卫生健康委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地方主管部门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休宁县卫生健康委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实施单位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基层医疗卫生机构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W w:w="22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rStyle w:val="15"/>
                <w:rFonts w:hint="default"/>
                <w:kern w:val="0"/>
                <w:sz w:val="21"/>
                <w:szCs w:val="21"/>
                <w:lang w:val="en-US" w:eastAsia="zh-CN" w:bidi="ar"/>
              </w:rPr>
              <w:t>基层基本公共卫生服务项目（</w:t>
            </w:r>
            <w:r>
              <w:rPr>
                <w:rStyle w:val="16"/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6"/>
                <w:rFonts w:hint="eastAsia" w:asci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类）</w:t>
            </w:r>
            <w:r>
              <w:rPr>
                <w:rStyle w:val="15"/>
                <w:rFonts w:hint="default"/>
                <w:kern w:val="0"/>
                <w:sz w:val="21"/>
                <w:szCs w:val="21"/>
                <w:lang w:val="en-US" w:eastAsia="zh-CN" w:bidi="ar"/>
              </w:rPr>
              <w:t>资金（万元）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190" w:firstLineChars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全年预算数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>（A）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全年执行数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>（B）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执行率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>（B/A）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2297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年度资金总额：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1759.5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1759.5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2297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14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其中：中央补助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1055.7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1055.7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2297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740"/>
              <w:rPr>
                <w:rFonts w:hint="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/>
                <w:color w:val="000000"/>
                <w:sz w:val="19"/>
                <w:szCs w:val="19"/>
                <w:lang w:eastAsia="zh-CN"/>
              </w:rPr>
              <w:t>省级</w:t>
            </w:r>
            <w:r>
              <w:rPr>
                <w:color w:val="000000"/>
                <w:sz w:val="19"/>
                <w:szCs w:val="19"/>
              </w:rPr>
              <w:t>补助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351.9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351.9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2297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740"/>
              <w:rPr>
                <w:rFonts w:hint="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/>
                <w:color w:val="000000"/>
                <w:sz w:val="19"/>
                <w:szCs w:val="19"/>
                <w:lang w:eastAsia="zh-CN"/>
              </w:rPr>
              <w:t>市级</w:t>
            </w:r>
            <w:r>
              <w:rPr>
                <w:color w:val="000000"/>
                <w:sz w:val="19"/>
                <w:szCs w:val="19"/>
              </w:rPr>
              <w:t>补助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2297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740"/>
              <w:rPr>
                <w:rFonts w:hint="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/>
                <w:color w:val="000000"/>
                <w:sz w:val="19"/>
                <w:szCs w:val="19"/>
                <w:lang w:eastAsia="zh-CN"/>
              </w:rPr>
              <w:t>县级</w:t>
            </w:r>
            <w:r>
              <w:rPr>
                <w:color w:val="000000"/>
                <w:sz w:val="19"/>
                <w:szCs w:val="19"/>
              </w:rPr>
              <w:t>补助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351.9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351.9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2297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23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其他资金 （包括结转结余）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8"/>
              <w:snapToGrid w:val="0"/>
              <w:spacing w:line="24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年度总</w:t>
            </w:r>
          </w:p>
          <w:p>
            <w:pPr>
              <w:pStyle w:val="18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体目标</w:t>
            </w:r>
          </w:p>
        </w:tc>
        <w:tc>
          <w:tcPr>
            <w:tcW w:w="583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年初设定目标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全年实际完成情况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583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免费向城乡居民提供基本公共卫生服务。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8"/>
              <w:rPr>
                <w:color w:val="000000"/>
              </w:rPr>
            </w:pPr>
            <w:r>
              <w:rPr>
                <w:color w:val="000000"/>
              </w:rPr>
              <w:t>绩效指标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一级 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二级指标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三级指标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252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年度</w:t>
            </w:r>
          </w:p>
          <w:p>
            <w:pPr>
              <w:pStyle w:val="14"/>
              <w:snapToGrid w:val="0"/>
              <w:spacing w:line="252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指标值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napToGrid w:val="0"/>
              <w:spacing w:line="252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全年</w:t>
            </w:r>
          </w:p>
          <w:p>
            <w:pPr>
              <w:pStyle w:val="14"/>
              <w:snapToGrid w:val="0"/>
              <w:spacing w:line="252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完成值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napToGrid w:val="0"/>
              <w:spacing w:line="252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未完成原因</w:t>
            </w:r>
          </w:p>
          <w:p>
            <w:pPr>
              <w:pStyle w:val="14"/>
              <w:snapToGrid w:val="0"/>
              <w:spacing w:line="252" w:lineRule="exact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和改进措施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8"/>
              <w:rPr>
                <w:color w:val="000000"/>
              </w:rPr>
            </w:pPr>
            <w:r>
              <w:rPr>
                <w:color w:val="000000"/>
              </w:rPr>
              <w:t>产出指标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数量指标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适龄儿童国家免疫规划疫苗接种率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rFonts w:hint="eastAsia"/>
                <w:lang w:bidi="ar"/>
              </w:rPr>
              <w:t>≥90%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90%以上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pStyle w:val="18"/>
              <w:rPr>
                <w:color w:val="00000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0-6</w:t>
            </w:r>
            <w:r>
              <w:rPr>
                <w:rFonts w:hint="eastAsia" w:ascii="宋体" w:hAnsi="宋体" w:cs="宋体"/>
                <w:sz w:val="18"/>
                <w:szCs w:val="18"/>
              </w:rPr>
              <w:t>岁以下儿童健康管理率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rFonts w:hint="eastAsia"/>
                <w:lang w:bidi="ar"/>
              </w:rPr>
              <w:t>≥</w:t>
            </w:r>
            <w:r>
              <w:rPr>
                <w:rStyle w:val="19"/>
                <w:rFonts w:hint="eastAsia"/>
                <w:lang w:val="en-US" w:eastAsia="zh-CN" w:bidi="ar"/>
              </w:rPr>
              <w:t>90</w:t>
            </w:r>
            <w:r>
              <w:rPr>
                <w:rStyle w:val="19"/>
                <w:rFonts w:hint="eastAsia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7.09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pStyle w:val="18"/>
              <w:rPr>
                <w:color w:val="00000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0-6岁儿童眼保健和视力检查覆盖率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rFonts w:hint="eastAsia"/>
                <w:lang w:bidi="ar"/>
              </w:rPr>
              <w:t>≥90%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7.09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pStyle w:val="18"/>
              <w:rPr>
                <w:color w:val="00000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孕产妇系统管理率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≥90%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92.92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pStyle w:val="18"/>
              <w:rPr>
                <w:color w:val="00000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3岁以下儿童系统管理率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≥8</w:t>
            </w:r>
            <w:r>
              <w:rPr>
                <w:rStyle w:val="19"/>
                <w:rFonts w:hint="eastAsia"/>
                <w:lang w:val="en-US" w:eastAsia="zh-CN" w:bidi="ar"/>
              </w:rPr>
              <w:t>5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92.76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高血压患者管理人数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default" w:eastAsia="宋体"/>
                <w:szCs w:val="22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21800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26432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2型糖尿病患者管理人数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default" w:eastAsia="宋体"/>
                <w:szCs w:val="22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7200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7451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eastAsia="zh-CN" w:bidi="ar"/>
              </w:rPr>
              <w:t>慢阻肺病患者管理人数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default" w:eastAsia="宋体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159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肺结核患者管理率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lang w:bidi="ar"/>
              </w:rPr>
              <w:t>≥90%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社区在册居家严重精神障碍患者健康管理率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lang w:bidi="ar"/>
              </w:rPr>
              <w:t>≥80%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儿童中医药健康管理率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</w:t>
            </w:r>
            <w:r>
              <w:rPr>
                <w:rStyle w:val="19"/>
                <w:rFonts w:hint="eastAsia"/>
                <w:lang w:val="en-US" w:eastAsia="zh-CN" w:bidi="ar"/>
              </w:rPr>
              <w:t>84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4.01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老年人中医药健康管理率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lang w:bidi="ar"/>
              </w:rPr>
              <w:t>≥</w:t>
            </w:r>
            <w:r>
              <w:rPr>
                <w:rStyle w:val="19"/>
                <w:rFonts w:hint="eastAsia"/>
                <w:lang w:bidi="ar"/>
              </w:rPr>
              <w:t>7</w:t>
            </w:r>
            <w:r>
              <w:rPr>
                <w:rStyle w:val="19"/>
                <w:rFonts w:hint="eastAsia"/>
                <w:lang w:val="en-US" w:eastAsia="zh-CN" w:bidi="ar"/>
              </w:rPr>
              <w:t>4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83.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卫生监督协管各专业每年巡查（访）2次完成率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≥90%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质量指标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居民规范化电子健康档案覆盖率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≥6</w:t>
            </w:r>
            <w:r>
              <w:rPr>
                <w:rStyle w:val="19"/>
                <w:rFonts w:hint="eastAsia"/>
                <w:lang w:val="en-US" w:eastAsia="zh-CN" w:bidi="ar"/>
              </w:rPr>
              <w:t>4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68.74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高血压患者基层规范管理服务率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≥6</w:t>
            </w:r>
            <w:r>
              <w:rPr>
                <w:rStyle w:val="19"/>
                <w:rFonts w:hint="eastAsia"/>
                <w:lang w:val="en-US" w:eastAsia="zh-CN" w:bidi="ar"/>
              </w:rPr>
              <w:t>4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79.59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2型糖尿病患者基层规范管理服务率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≥6</w:t>
            </w:r>
            <w:r>
              <w:rPr>
                <w:rStyle w:val="19"/>
                <w:rFonts w:hint="eastAsia"/>
                <w:lang w:val="en-US" w:eastAsia="zh-CN" w:bidi="ar"/>
              </w:rPr>
              <w:t>4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66.18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tabs>
                <w:tab w:val="left" w:leader="dot" w:pos="360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en-US" w:eastAsia="zh-CN" w:bidi="en-US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65岁及以上老年人城乡社区规范健康管理服务率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≥6</w:t>
            </w:r>
            <w:r>
              <w:rPr>
                <w:rStyle w:val="19"/>
                <w:rFonts w:hint="eastAsia"/>
                <w:lang w:val="en-US" w:eastAsia="zh-CN" w:bidi="ar"/>
              </w:rPr>
              <w:t>4</w:t>
            </w:r>
            <w:r>
              <w:rPr>
                <w:rStyle w:val="19"/>
                <w:lang w:bidi="ar"/>
              </w:rPr>
              <w:t>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4.77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tabs>
                <w:tab w:val="left" w:leader="dot" w:pos="360"/>
              </w:tabs>
              <w:spacing w:line="240" w:lineRule="auto"/>
              <w:ind w:firstLine="0"/>
              <w:jc w:val="center"/>
              <w:rPr>
                <w:color w:val="000000"/>
                <w:sz w:val="19"/>
                <w:szCs w:val="19"/>
                <w:lang w:val="en-US" w:eastAsia="zh-CN" w:bidi="en-US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传染病和突发公共卫生事件报告率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/>
                <w:szCs w:val="22"/>
                <w:lang w:bidi="ar"/>
              </w:rPr>
            </w:pPr>
            <w:r>
              <w:rPr>
                <w:rStyle w:val="19"/>
                <w:lang w:bidi="ar"/>
              </w:rPr>
              <w:t>≥95%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100%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8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lang w:val="zh-TW" w:eastAsia="zh-CN" w:bidi="zh-TW"/>
              </w:rPr>
            </w:pPr>
            <w:r>
              <w:rPr>
                <w:rFonts w:hint="eastAsia"/>
                <w:color w:val="000000"/>
                <w:sz w:val="19"/>
                <w:szCs w:val="19"/>
                <w:lang w:eastAsia="zh-CN"/>
              </w:rPr>
              <w:t>效益指标</w:t>
            </w:r>
          </w:p>
          <w:p>
            <w:pPr>
              <w:pStyle w:val="14"/>
              <w:spacing w:line="248" w:lineRule="exact"/>
              <w:ind w:firstLine="0"/>
              <w:jc w:val="center"/>
              <w:rPr>
                <w:rFonts w:hint="eastAsia"/>
                <w:color w:val="00000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5" w:lineRule="exact"/>
              <w:ind w:firstLine="190" w:firstLineChars="100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lang w:val="zh-TW" w:eastAsia="zh-CN" w:bidi="zh-TW"/>
              </w:rPr>
            </w:pPr>
            <w:r>
              <w:rPr>
                <w:rFonts w:hint="eastAsia"/>
                <w:color w:val="000000"/>
                <w:sz w:val="19"/>
                <w:szCs w:val="19"/>
                <w:lang w:eastAsia="zh-CN"/>
              </w:rPr>
              <w:t>满意度指标</w:t>
            </w:r>
          </w:p>
          <w:p>
            <w:pPr>
              <w:pStyle w:val="14"/>
              <w:spacing w:line="245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zh-TW" w:eastAsia="zh-CN" w:bidi="zh-TW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社会效益指标</w:t>
            </w:r>
          </w:p>
          <w:p>
            <w:pPr>
              <w:pStyle w:val="14"/>
              <w:spacing w:line="248" w:lineRule="exact"/>
              <w:ind w:firstLine="0" w:firstLineChars="0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5" w:lineRule="exact"/>
              <w:ind w:firstLine="190" w:firstLineChars="100"/>
              <w:rPr>
                <w:rFonts w:ascii="宋体" w:hAnsi="宋体" w:eastAsia="宋体" w:cs="宋体"/>
                <w:color w:val="000000"/>
                <w:kern w:val="2"/>
                <w:sz w:val="19"/>
                <w:szCs w:val="19"/>
                <w:lang w:val="zh-TW" w:eastAsia="zh-TW" w:bidi="zh-TW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服务对象满意度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bidi="ar"/>
              </w:rPr>
              <w:t>不断提高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bidi="ar"/>
              </w:rPr>
              <w:t>不断提高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top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5" w:lineRule="exact"/>
              <w:ind w:firstLine="190" w:firstLineChars="100"/>
              <w:rPr>
                <w:rFonts w:hint="eastAsia" w:ascii="宋体" w:hAnsi="宋体" w:eastAsia="宋体" w:cs="宋体"/>
                <w:color w:val="000000"/>
                <w:kern w:val="2"/>
                <w:sz w:val="19"/>
                <w:szCs w:val="19"/>
                <w:lang w:val="zh-TW" w:eastAsia="zh-CN" w:bidi="zh-TW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城乡居民公共卫生差距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bidi="ar"/>
              </w:rPr>
              <w:t>不断缩小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bidi="ar"/>
              </w:rPr>
              <w:t>不断缩小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zh-TW" w:bidi="zh-TW"/>
              </w:rPr>
              <w:t>可持续影响指标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4"/>
              <w:spacing w:line="245" w:lineRule="exact"/>
              <w:ind w:firstLine="190" w:firstLineChars="100"/>
              <w:rPr>
                <w:rFonts w:ascii="宋体" w:hAnsi="宋体" w:eastAsia="宋体" w:cs="宋体"/>
                <w:color w:val="000000"/>
                <w:kern w:val="2"/>
                <w:sz w:val="19"/>
                <w:szCs w:val="19"/>
                <w:lang w:val="zh-TW" w:eastAsia="zh-TW" w:bidi="zh-TW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基本公共卫生服务水平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bidi="ar"/>
              </w:rPr>
              <w:t>不断提高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bidi="ar"/>
              </w:rPr>
              <w:t>不断提高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4"/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说明</w:t>
            </w:r>
          </w:p>
        </w:tc>
        <w:tc>
          <w:tcPr>
            <w:tcW w:w="9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10"/>
                <w:szCs w:val="10"/>
              </w:rPr>
            </w:pPr>
          </w:p>
        </w:tc>
      </w:tr>
    </w:tbl>
    <w:p>
      <w:pPr>
        <w:pStyle w:val="20"/>
        <w:spacing w:after="40"/>
        <w:ind w:firstLine="0"/>
        <w:rPr>
          <w:lang w:eastAsia="zh-CN"/>
        </w:rPr>
      </w:pPr>
      <w:r>
        <w:rPr>
          <w:rFonts w:hint="eastAsia"/>
        </w:rPr>
        <w:t xml:space="preserve"> </w:t>
      </w:r>
      <w:r>
        <w:rPr>
          <w:color w:val="000000"/>
        </w:rPr>
        <w:t>注：</w:t>
      </w:r>
      <w:r>
        <w:rPr>
          <w:rFonts w:ascii="Times New Roman" w:hAnsi="Times New Roman" w:eastAsia="Times New Roman" w:cs="Times New Roman"/>
          <w:color w:val="000000"/>
          <w:sz w:val="17"/>
          <w:szCs w:val="17"/>
        </w:rPr>
        <w:t>1</w:t>
      </w:r>
      <w:r>
        <w:rPr>
          <w:color w:val="000000"/>
        </w:rPr>
        <w:t>.定量指标，资金使用单位填写本地区实际完成数。汇总时，对绝对值直接累加计算，相对值按照资金额度加权平均</w:t>
      </w:r>
      <w:r>
        <w:rPr>
          <w:rFonts w:hint="eastAsia"/>
          <w:color w:val="000000"/>
          <w:lang w:eastAsia="zh-CN"/>
        </w:rPr>
        <w:t>。</w:t>
      </w:r>
      <w:r>
        <w:rPr>
          <w:rFonts w:ascii="Times New Roman" w:hAnsi="Times New Roman" w:eastAsia="Times New Roman" w:cs="Times New Roman"/>
          <w:color w:val="000000"/>
          <w:sz w:val="17"/>
          <w:szCs w:val="17"/>
        </w:rPr>
        <w:t>2</w:t>
      </w:r>
      <w:r>
        <w:rPr>
          <w:color w:val="000000"/>
        </w:rPr>
        <w:t>.定性指标根据指标完成情况分为：全部或基本达成预期指标、部分达成预期指标并具有一定效果、未达成预期指 标且效果较差三档，分别按照</w:t>
      </w:r>
      <w:r>
        <w:rPr>
          <w:rFonts w:ascii="Times New Roman" w:hAnsi="Times New Roman" w:eastAsia="Times New Roman" w:cs="Times New Roman"/>
          <w:color w:val="000000"/>
          <w:sz w:val="17"/>
          <w:szCs w:val="17"/>
        </w:rPr>
        <w:t xml:space="preserve">100%-80% </w:t>
      </w:r>
      <w:r>
        <w:rPr>
          <w:color w:val="000000"/>
        </w:rPr>
        <w:t>（含）、</w:t>
      </w:r>
      <w:r>
        <w:rPr>
          <w:rFonts w:ascii="Times New Roman" w:hAnsi="Times New Roman" w:eastAsia="Times New Roman" w:cs="Times New Roman"/>
          <w:color w:val="000000"/>
          <w:sz w:val="17"/>
          <w:szCs w:val="17"/>
        </w:rPr>
        <w:t xml:space="preserve">80%-60% </w:t>
      </w:r>
      <w:r>
        <w:rPr>
          <w:color w:val="000000"/>
        </w:rPr>
        <w:t>（含）、</w:t>
      </w:r>
      <w:r>
        <w:rPr>
          <w:rFonts w:ascii="Times New Roman" w:hAnsi="Times New Roman" w:eastAsia="Times New Roman" w:cs="Times New Roman"/>
          <w:color w:val="000000"/>
          <w:sz w:val="17"/>
          <w:szCs w:val="17"/>
        </w:rPr>
        <w:t>60-0%</w:t>
      </w:r>
      <w:r>
        <w:rPr>
          <w:color w:val="000000"/>
        </w:rPr>
        <w:t>合理填写完成比例。</w:t>
      </w:r>
    </w:p>
    <w:p>
      <w:pPr>
        <w:pStyle w:val="20"/>
        <w:wordWrap w:val="0"/>
        <w:spacing w:after="40" w:line="560" w:lineRule="exact"/>
        <w:ind w:firstLine="0"/>
        <w:jc w:val="right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pStyle w:val="20"/>
        <w:spacing w:after="40"/>
        <w:ind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NhNTc0YmYzODY4ZmU5YzFiZDUyMjRkYzkwMzYxMTkifQ=="/>
  </w:docVars>
  <w:rsids>
    <w:rsidRoot w:val="00BC6D3C"/>
    <w:rsid w:val="00064E51"/>
    <w:rsid w:val="000B79C8"/>
    <w:rsid w:val="000C3FC4"/>
    <w:rsid w:val="000D349F"/>
    <w:rsid w:val="000D781A"/>
    <w:rsid w:val="000E4597"/>
    <w:rsid w:val="00105094"/>
    <w:rsid w:val="00116F43"/>
    <w:rsid w:val="001220AB"/>
    <w:rsid w:val="00122DB3"/>
    <w:rsid w:val="001445C4"/>
    <w:rsid w:val="00155132"/>
    <w:rsid w:val="001A65FE"/>
    <w:rsid w:val="001B6FFC"/>
    <w:rsid w:val="001E71C8"/>
    <w:rsid w:val="002276A7"/>
    <w:rsid w:val="0028434D"/>
    <w:rsid w:val="00294959"/>
    <w:rsid w:val="002F4098"/>
    <w:rsid w:val="003026BE"/>
    <w:rsid w:val="00355C2E"/>
    <w:rsid w:val="00397051"/>
    <w:rsid w:val="003C44B5"/>
    <w:rsid w:val="003C6F47"/>
    <w:rsid w:val="003E5ED6"/>
    <w:rsid w:val="004406A7"/>
    <w:rsid w:val="00457CB1"/>
    <w:rsid w:val="004A1E62"/>
    <w:rsid w:val="004C07F4"/>
    <w:rsid w:val="004E509B"/>
    <w:rsid w:val="005512D5"/>
    <w:rsid w:val="00586421"/>
    <w:rsid w:val="005B2989"/>
    <w:rsid w:val="005E7E90"/>
    <w:rsid w:val="006006BA"/>
    <w:rsid w:val="0062201B"/>
    <w:rsid w:val="0069304C"/>
    <w:rsid w:val="006D2F10"/>
    <w:rsid w:val="006E747C"/>
    <w:rsid w:val="0076638A"/>
    <w:rsid w:val="00782A2C"/>
    <w:rsid w:val="007A3319"/>
    <w:rsid w:val="007B0FEB"/>
    <w:rsid w:val="00832C46"/>
    <w:rsid w:val="00861E47"/>
    <w:rsid w:val="00877CEA"/>
    <w:rsid w:val="008A1A8A"/>
    <w:rsid w:val="008C7D2B"/>
    <w:rsid w:val="009039E0"/>
    <w:rsid w:val="00930AE6"/>
    <w:rsid w:val="00950776"/>
    <w:rsid w:val="009716C4"/>
    <w:rsid w:val="0098180B"/>
    <w:rsid w:val="009B21A8"/>
    <w:rsid w:val="009D472B"/>
    <w:rsid w:val="00A03BDA"/>
    <w:rsid w:val="00A95C5D"/>
    <w:rsid w:val="00AB2FA3"/>
    <w:rsid w:val="00AF0EAE"/>
    <w:rsid w:val="00B05C7A"/>
    <w:rsid w:val="00B20BF5"/>
    <w:rsid w:val="00B545D1"/>
    <w:rsid w:val="00B800B9"/>
    <w:rsid w:val="00B90C35"/>
    <w:rsid w:val="00B91792"/>
    <w:rsid w:val="00B9207E"/>
    <w:rsid w:val="00BB5FB3"/>
    <w:rsid w:val="00BC6D3C"/>
    <w:rsid w:val="00BE06DF"/>
    <w:rsid w:val="00C04D6D"/>
    <w:rsid w:val="00C36537"/>
    <w:rsid w:val="00D27431"/>
    <w:rsid w:val="00D65DFD"/>
    <w:rsid w:val="00D739FD"/>
    <w:rsid w:val="00E21D11"/>
    <w:rsid w:val="00E31C87"/>
    <w:rsid w:val="00E604DB"/>
    <w:rsid w:val="00E7601D"/>
    <w:rsid w:val="00E763B4"/>
    <w:rsid w:val="00EA46AE"/>
    <w:rsid w:val="00EB1D9B"/>
    <w:rsid w:val="00EC2F15"/>
    <w:rsid w:val="00F569FD"/>
    <w:rsid w:val="00FB2140"/>
    <w:rsid w:val="00FC23BF"/>
    <w:rsid w:val="00FD3F04"/>
    <w:rsid w:val="00FE459C"/>
    <w:rsid w:val="0D08375D"/>
    <w:rsid w:val="0E0A46A0"/>
    <w:rsid w:val="11C31E9F"/>
    <w:rsid w:val="275E234E"/>
    <w:rsid w:val="2DBD2AF7"/>
    <w:rsid w:val="2E0E4C07"/>
    <w:rsid w:val="3CF72305"/>
    <w:rsid w:val="46EF502B"/>
    <w:rsid w:val="479E36AC"/>
    <w:rsid w:val="48343125"/>
    <w:rsid w:val="492842AC"/>
    <w:rsid w:val="5D4769B5"/>
    <w:rsid w:val="5DAF3B42"/>
    <w:rsid w:val="61623EA5"/>
    <w:rsid w:val="67FA071D"/>
    <w:rsid w:val="68996497"/>
    <w:rsid w:val="73EFFCE1"/>
    <w:rsid w:val="75634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2 Char"/>
    <w:basedOn w:val="8"/>
    <w:link w:val="2"/>
    <w:semiHidden/>
    <w:qFormat/>
    <w:uiPriority w:val="0"/>
    <w:rPr>
      <w:rFonts w:ascii="宋体" w:hAnsi="宋体"/>
      <w:b/>
      <w:bCs/>
      <w:sz w:val="36"/>
      <w:szCs w:val="36"/>
    </w:rPr>
  </w:style>
  <w:style w:type="paragraph" w:customStyle="1" w:styleId="13">
    <w:name w:val="Body text|2"/>
    <w:basedOn w:val="1"/>
    <w:qFormat/>
    <w:uiPriority w:val="0"/>
    <w:pPr>
      <w:spacing w:after="12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font212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Other|2"/>
    <w:basedOn w:val="1"/>
    <w:qFormat/>
    <w:uiPriority w:val="0"/>
    <w:pPr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0">
    <w:name w:val="Table caption|1"/>
    <w:basedOn w:val="1"/>
    <w:qFormat/>
    <w:uiPriority w:val="0"/>
    <w:pPr>
      <w:spacing w:after="20" w:line="223" w:lineRule="exact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7398</Words>
  <Characters>8052</Characters>
  <Lines>64</Lines>
  <Paragraphs>18</Paragraphs>
  <TotalTime>23</TotalTime>
  <ScaleCrop>false</ScaleCrop>
  <LinksUpToDate>false</LinksUpToDate>
  <CharactersWithSpaces>8083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hss</cp:lastModifiedBy>
  <dcterms:modified xsi:type="dcterms:W3CDTF">2025-04-21T10:49:32Z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7B8D02342F60449C8CE7B80AA654BE70</vt:lpwstr>
  </property>
</Properties>
</file>