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4C8B1">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bookmarkStart w:id="0" w:name="zhengwen"/>
    </w:p>
    <w:p w14:paraId="75500E37">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p>
    <w:p w14:paraId="18359B29">
      <w:pPr>
        <w:suppressAutoHyphens/>
        <w:bidi w:val="0"/>
        <w:spacing w:line="56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color w:val="000000"/>
          <w:spacing w:val="0"/>
          <w:sz w:val="44"/>
          <w:szCs w:val="44"/>
          <w:shd w:val="clear" w:color="auto" w:fill="FFFFFF"/>
          <w:lang w:eastAsia="zh-CN"/>
        </w:rPr>
        <w:t>休宁县人民政府</w:t>
      </w:r>
      <w:r>
        <w:rPr>
          <w:rFonts w:hint="default" w:ascii="Times New Roman" w:hAnsi="Times New Roman" w:eastAsia="方正小标宋_GBK" w:cs="Times New Roman"/>
          <w:color w:val="000000"/>
          <w:kern w:val="0"/>
          <w:sz w:val="44"/>
          <w:szCs w:val="44"/>
          <w:lang w:val="en-US" w:eastAsia="zh-CN" w:bidi="ar"/>
        </w:rPr>
        <w:t>关于印发</w:t>
      </w:r>
      <w:r>
        <w:rPr>
          <w:rFonts w:hint="default" w:ascii="Times New Roman" w:hAnsi="Times New Roman" w:eastAsia="方正小标宋_GBK" w:cs="Times New Roman"/>
          <w:bCs/>
          <w:color w:val="auto"/>
          <w:sz w:val="44"/>
          <w:szCs w:val="44"/>
        </w:rPr>
        <w:t>休宁县中心城区</w:t>
      </w:r>
    </w:p>
    <w:p w14:paraId="4DB9F2A6">
      <w:pPr>
        <w:suppressAutoHyphens/>
        <w:bidi w:val="0"/>
        <w:spacing w:line="56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集体土地地上附着物及青苗等征收补偿</w:t>
      </w:r>
    </w:p>
    <w:p w14:paraId="39CA1B1E">
      <w:pPr>
        <w:suppressAutoHyphens/>
        <w:bidi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color w:val="auto"/>
          <w:sz w:val="44"/>
          <w:szCs w:val="44"/>
        </w:rPr>
        <w:t>安置工作指导意见</w:t>
      </w:r>
      <w:r>
        <w:rPr>
          <w:rFonts w:hint="default" w:ascii="Times New Roman" w:hAnsi="Times New Roman" w:eastAsia="方正小标宋_GBK" w:cs="Times New Roman"/>
          <w:color w:val="000000"/>
          <w:kern w:val="0"/>
          <w:sz w:val="44"/>
          <w:szCs w:val="44"/>
          <w:lang w:val="en-US" w:eastAsia="zh-CN" w:bidi="ar"/>
        </w:rPr>
        <w:t>的通知</w:t>
      </w:r>
    </w:p>
    <w:p w14:paraId="4D13DC5B">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休政秘</w:t>
      </w:r>
      <w:r>
        <w:rPr>
          <w:rFonts w:hint="default" w:ascii="Times New Roman" w:hAnsi="Times New Roman" w:eastAsia="方正仿宋_GBK" w:cs="Times New Roman"/>
          <w:bCs/>
          <w:spacing w:val="0"/>
          <w:sz w:val="32"/>
          <w:szCs w:val="32"/>
          <w:lang w:eastAsia="zh-CN"/>
        </w:rPr>
        <w:t>〔202</w:t>
      </w:r>
      <w:r>
        <w:rPr>
          <w:rFonts w:hint="default" w:ascii="Times New Roman" w:hAnsi="Times New Roman" w:eastAsia="方正仿宋_GBK" w:cs="Times New Roman"/>
          <w:bCs/>
          <w:spacing w:val="0"/>
          <w:sz w:val="32"/>
          <w:szCs w:val="32"/>
          <w:lang w:val="en-US" w:eastAsia="zh-CN"/>
        </w:rPr>
        <w:t>4</w:t>
      </w:r>
      <w:r>
        <w:rPr>
          <w:rFonts w:hint="default" w:ascii="Times New Roman" w:hAnsi="Times New Roman" w:eastAsia="方正仿宋_GBK" w:cs="Times New Roman"/>
          <w:bCs/>
          <w:spacing w:val="0"/>
          <w:sz w:val="32"/>
          <w:szCs w:val="32"/>
          <w:lang w:eastAsia="zh-CN"/>
        </w:rPr>
        <w:t>〕</w:t>
      </w:r>
      <w:r>
        <w:rPr>
          <w:rFonts w:hint="default" w:ascii="Times New Roman" w:hAnsi="Times New Roman" w:eastAsia="方正仿宋_GBK" w:cs="Times New Roman"/>
          <w:bCs/>
          <w:spacing w:val="0"/>
          <w:sz w:val="32"/>
          <w:szCs w:val="32"/>
          <w:lang w:val="en-US" w:eastAsia="zh-CN"/>
        </w:rPr>
        <w:t>5</w:t>
      </w:r>
      <w:r>
        <w:rPr>
          <w:rFonts w:hint="default" w:ascii="Times New Roman" w:hAnsi="Times New Roman" w:eastAsia="方正仿宋_GBK" w:cs="Times New Roman"/>
          <w:bCs/>
          <w:spacing w:val="0"/>
          <w:sz w:val="32"/>
          <w:szCs w:val="32"/>
          <w:lang w:eastAsia="zh-CN"/>
        </w:rPr>
        <w:t>号</w:t>
      </w:r>
    </w:p>
    <w:p w14:paraId="73A5FD6E">
      <w:pPr>
        <w:pStyle w:val="8"/>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pacing w:val="0"/>
          <w:sz w:val="32"/>
          <w:szCs w:val="32"/>
        </w:rPr>
      </w:pPr>
    </w:p>
    <w:p w14:paraId="15096CCE">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海阳镇、万安镇人民政府，休宁经济开发区管委会，县政府各部门、各直属机构：</w:t>
      </w:r>
    </w:p>
    <w:p w14:paraId="0C3FBBF8">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《休宁县中心城区集体土地地上附着物及青苗等征收补偿安置工作指导意见》已经县政府常务会议审议通过，现印发给你们，请遵照执行。</w:t>
      </w:r>
    </w:p>
    <w:p w14:paraId="6D63C9BE">
      <w:pPr>
        <w:keepNext w:val="0"/>
        <w:keepLines w:val="0"/>
        <w:widowControl/>
        <w:suppressLineNumbers w:val="0"/>
        <w:suppressAutoHyphens/>
        <w:bidi w:val="0"/>
        <w:spacing w:line="560" w:lineRule="exact"/>
        <w:jc w:val="left"/>
        <w:rPr>
          <w:rFonts w:hint="default" w:ascii="Times New Roman" w:hAnsi="Times New Roman" w:eastAsia="仿宋_GB2312" w:cs="Times New Roman"/>
          <w:color w:val="000000"/>
          <w:kern w:val="0"/>
          <w:sz w:val="32"/>
          <w:szCs w:val="32"/>
          <w:lang w:val="en-US" w:eastAsia="zh-CN" w:bidi="ar"/>
        </w:rPr>
      </w:pPr>
    </w:p>
    <w:p w14:paraId="78C6F54B">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spacing w:val="0"/>
          <w:kern w:val="0"/>
          <w:sz w:val="32"/>
          <w:szCs w:val="32"/>
          <w:lang w:val="en-US" w:eastAsia="zh-CN" w:bidi="ar"/>
        </w:rPr>
      </w:pPr>
    </w:p>
    <w:p w14:paraId="5BDC0844">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休宁县人民政府  </w:t>
      </w:r>
    </w:p>
    <w:p w14:paraId="0DF125CC">
      <w:pPr>
        <w:pStyle w:val="8"/>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pacing w:val="0"/>
          <w:sz w:val="32"/>
          <w:szCs w:val="32"/>
          <w:lang w:val="en-US" w:eastAsia="zh-CN"/>
        </w:rPr>
        <w:t xml:space="preserve">                                       2024年1月15日</w:t>
      </w:r>
    </w:p>
    <w:p w14:paraId="3B683DA4">
      <w:pPr>
        <w:pStyle w:val="4"/>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spacing w:val="0"/>
          <w:kern w:val="0"/>
          <w:sz w:val="32"/>
          <w:szCs w:val="32"/>
        </w:rPr>
      </w:pPr>
    </w:p>
    <w:p w14:paraId="6132294D">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spacing w:val="0"/>
          <w:kern w:val="0"/>
          <w:sz w:val="32"/>
          <w:szCs w:val="32"/>
          <w:lang w:val="en-US" w:eastAsia="zh-CN"/>
        </w:rPr>
      </w:pPr>
    </w:p>
    <w:p w14:paraId="7DA11018">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spacing w:val="0"/>
          <w:kern w:val="0"/>
          <w:sz w:val="32"/>
          <w:szCs w:val="32"/>
          <w:lang w:val="en-US" w:eastAsia="zh-CN"/>
        </w:rPr>
      </w:pPr>
    </w:p>
    <w:p w14:paraId="0008E561">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pacing w:val="0"/>
          <w:w w:val="90"/>
          <w:sz w:val="44"/>
          <w:szCs w:val="44"/>
        </w:rPr>
      </w:pPr>
    </w:p>
    <w:bookmarkEnd w:id="0"/>
    <w:p w14:paraId="39B59262">
      <w:pPr>
        <w:suppressAutoHyphens/>
        <w:bidi w:val="0"/>
        <w:spacing w:line="560" w:lineRule="exact"/>
        <w:jc w:val="center"/>
        <w:rPr>
          <w:rFonts w:hint="default" w:ascii="Times New Roman" w:hAnsi="Times New Roman" w:eastAsia="方正小标宋_GBK" w:cs="Times New Roman"/>
          <w:bCs/>
          <w:color w:val="auto"/>
          <w:sz w:val="44"/>
          <w:szCs w:val="44"/>
        </w:rPr>
      </w:pPr>
    </w:p>
    <w:p w14:paraId="43078981">
      <w:pPr>
        <w:suppressAutoHyphens/>
        <w:bidi w:val="0"/>
        <w:spacing w:line="56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休宁县中心城区集体土地地上附着物及</w:t>
      </w:r>
    </w:p>
    <w:p w14:paraId="69BB2101">
      <w:pPr>
        <w:suppressAutoHyphens/>
        <w:bidi w:val="0"/>
        <w:spacing w:line="56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青苗等征收补偿安置工作指导意见</w:t>
      </w:r>
    </w:p>
    <w:p w14:paraId="3A6CD59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rPr>
      </w:pPr>
    </w:p>
    <w:p w14:paraId="067BE235">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为规范</w:t>
      </w:r>
      <w:r>
        <w:rPr>
          <w:rFonts w:hint="default" w:ascii="Times New Roman" w:hAnsi="Times New Roman" w:eastAsia="方正仿宋_GBK" w:cs="Times New Roman"/>
          <w:color w:val="auto"/>
          <w:kern w:val="0"/>
          <w:sz w:val="32"/>
          <w:szCs w:val="32"/>
          <w:lang w:eastAsia="zh-CN"/>
        </w:rPr>
        <w:t>中心城区</w:t>
      </w:r>
      <w:r>
        <w:rPr>
          <w:rFonts w:hint="default" w:ascii="Times New Roman" w:hAnsi="Times New Roman" w:eastAsia="方正仿宋_GBK" w:cs="Times New Roman"/>
          <w:color w:val="auto"/>
          <w:kern w:val="0"/>
          <w:sz w:val="32"/>
          <w:szCs w:val="32"/>
        </w:rPr>
        <w:t>集体土地征收补偿安置工作，维护被征收人的合法权益，</w:t>
      </w:r>
      <w:r>
        <w:rPr>
          <w:rFonts w:hint="default" w:ascii="Times New Roman" w:hAnsi="Times New Roman" w:eastAsia="方正仿宋_GBK" w:cs="Times New Roman"/>
          <w:color w:val="auto"/>
          <w:sz w:val="32"/>
          <w:szCs w:val="32"/>
        </w:rPr>
        <w:t>根据《中华人民共和国土地管理法》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中华人民共和国土地管理法</w:t>
      </w:r>
      <w:r>
        <w:rPr>
          <w:rFonts w:hint="default" w:ascii="Times New Roman" w:hAnsi="Times New Roman" w:eastAsia="方正仿宋_GBK" w:cs="Times New Roman"/>
          <w:color w:val="auto"/>
          <w:sz w:val="32"/>
          <w:szCs w:val="32"/>
          <w:lang w:eastAsia="zh-CN"/>
        </w:rPr>
        <w:t>实施条例》</w:t>
      </w:r>
      <w:r>
        <w:rPr>
          <w:rFonts w:hint="default" w:ascii="Times New Roman" w:hAnsi="Times New Roman" w:eastAsia="方正仿宋_GBK" w:cs="Times New Roman"/>
          <w:color w:val="auto"/>
          <w:kern w:val="0"/>
          <w:sz w:val="32"/>
          <w:szCs w:val="32"/>
        </w:rPr>
        <w:t>《安徽省实施</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中华人民共和国土地管理法</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办法》</w:t>
      </w:r>
      <w:r>
        <w:rPr>
          <w:rFonts w:hint="default" w:ascii="Times New Roman" w:hAnsi="Times New Roman" w:eastAsia="方正仿宋_GBK" w:cs="Times New Roman"/>
          <w:color w:val="auto"/>
          <w:sz w:val="32"/>
          <w:szCs w:val="32"/>
        </w:rPr>
        <w:t>《安徽省人民政府关于公布全省征地区片综合地价标准的通知》（皖政〔</w:t>
      </w:r>
      <w:r>
        <w:rPr>
          <w:rFonts w:hint="default" w:ascii="Times New Roman" w:hAnsi="Times New Roman" w:eastAsia="方正仿宋_GBK" w:cs="Times New Roman"/>
          <w:color w:val="auto"/>
          <w:sz w:val="32"/>
          <w:szCs w:val="32"/>
          <w:lang w:val="en-US" w:eastAsia="zh-CN"/>
        </w:rPr>
        <w:t>2023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62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《黄山市人民政府关于公布黄山市被征收土地地上附着物及青苗等补偿标准的通知》（黄政秘〔2020〕34号）等</w:t>
      </w:r>
      <w:r>
        <w:rPr>
          <w:rFonts w:hint="default" w:ascii="Times New Roman" w:hAnsi="Times New Roman" w:eastAsia="方正仿宋_GBK" w:cs="Times New Roman"/>
          <w:color w:val="auto"/>
          <w:sz w:val="32"/>
          <w:szCs w:val="32"/>
          <w:lang w:eastAsia="zh-CN"/>
        </w:rPr>
        <w:t>法律法规及规范性文件</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eastAsia="zh-CN"/>
        </w:rPr>
        <w:t>我</w:t>
      </w:r>
      <w:r>
        <w:rPr>
          <w:rFonts w:hint="default" w:ascii="Times New Roman" w:hAnsi="Times New Roman" w:eastAsia="方正仿宋_GBK" w:cs="Times New Roman"/>
          <w:color w:val="auto"/>
          <w:sz w:val="32"/>
          <w:szCs w:val="32"/>
        </w:rPr>
        <w:t>县实际，制定本意见。</w:t>
      </w:r>
    </w:p>
    <w:p w14:paraId="4A6B273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一、适用范围</w:t>
      </w:r>
    </w:p>
    <w:p w14:paraId="13A3BF27">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休宁县中心城区范围内被征收集体土地地上附着物及青苗等补偿</w:t>
      </w:r>
      <w:r>
        <w:rPr>
          <w:rFonts w:hint="default" w:ascii="Times New Roman" w:hAnsi="Times New Roman" w:eastAsia="方正仿宋_GBK" w:cs="Times New Roman"/>
          <w:color w:val="auto"/>
          <w:sz w:val="32"/>
          <w:szCs w:val="32"/>
          <w:lang w:eastAsia="zh-CN"/>
        </w:rPr>
        <w:t>安置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eastAsia="zh-CN"/>
        </w:rPr>
        <w:t>中心城区范围：东至屯溪区新潭镇界、南至规划南外环路、西至齐云山镇典口村界、北至规划北外环路</w:t>
      </w:r>
      <w:r>
        <w:rPr>
          <w:rFonts w:hint="default" w:ascii="Times New Roman" w:hAnsi="Times New Roman" w:eastAsia="方正仿宋_GBK" w:cs="Times New Roman"/>
          <w:b/>
          <w:bCs/>
          <w:sz w:val="32"/>
          <w:szCs w:val="32"/>
          <w:lang w:val="en-US" w:eastAsia="zh-CN"/>
        </w:rPr>
        <w:t>（见附件</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bCs/>
          <w:color w:val="auto"/>
          <w:sz w:val="32"/>
          <w:szCs w:val="32"/>
        </w:rPr>
        <w:t>休宁县中心城区范围</w:t>
      </w:r>
      <w:r>
        <w:rPr>
          <w:rFonts w:hint="default" w:ascii="Times New Roman" w:hAnsi="Times New Roman" w:eastAsia="方正仿宋_GBK" w:cs="Times New Roman"/>
          <w:b/>
          <w:bCs/>
          <w:color w:val="auto"/>
          <w:sz w:val="32"/>
          <w:szCs w:val="32"/>
          <w:lang w:eastAsia="zh-CN"/>
        </w:rPr>
        <w:t>图）</w:t>
      </w:r>
      <w:r>
        <w:rPr>
          <w:rFonts w:hint="default" w:ascii="Times New Roman" w:hAnsi="Times New Roman" w:eastAsia="方正仿宋_GBK" w:cs="Times New Roman"/>
          <w:color w:val="auto"/>
          <w:sz w:val="32"/>
          <w:szCs w:val="32"/>
        </w:rPr>
        <w:t>。</w:t>
      </w:r>
    </w:p>
    <w:p w14:paraId="6E892B9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二、征收</w:t>
      </w:r>
      <w:r>
        <w:rPr>
          <w:rFonts w:hint="default" w:ascii="Times New Roman" w:hAnsi="Times New Roman" w:eastAsia="方正黑体_GBK" w:cs="Times New Roman"/>
          <w:b w:val="0"/>
          <w:bCs w:val="0"/>
          <w:color w:val="auto"/>
          <w:sz w:val="32"/>
          <w:szCs w:val="32"/>
        </w:rPr>
        <w:t>主体</w:t>
      </w:r>
    </w:p>
    <w:p w14:paraId="2E8EA01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休宁县人民政府。</w:t>
      </w:r>
    </w:p>
    <w:p w14:paraId="17C641C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三、实施单位</w:t>
      </w:r>
    </w:p>
    <w:p w14:paraId="477AED3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受休宁县人民政府委托，中心城区范围内集体土地及房屋征收补偿工作由海阳镇、万安镇人民政府作为实施单位，</w:t>
      </w:r>
      <w:r>
        <w:rPr>
          <w:rFonts w:hint="default" w:ascii="Times New Roman" w:hAnsi="Times New Roman" w:eastAsia="方正仿宋_GBK" w:cs="Times New Roman"/>
          <w:bCs/>
          <w:color w:val="auto"/>
          <w:kern w:val="0"/>
          <w:sz w:val="32"/>
          <w:szCs w:val="32"/>
        </w:rPr>
        <w:t>承担辖区内集体土地征收补偿安置的具体工作</w:t>
      </w:r>
      <w:r>
        <w:rPr>
          <w:rFonts w:hint="default" w:ascii="Times New Roman" w:hAnsi="Times New Roman" w:eastAsia="方正仿宋_GBK" w:cs="Times New Roman"/>
          <w:color w:val="auto"/>
          <w:sz w:val="32"/>
          <w:szCs w:val="32"/>
        </w:rPr>
        <w:t>。</w:t>
      </w:r>
    </w:p>
    <w:p w14:paraId="42B7015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四、征收补偿工作的指导原则</w:t>
      </w:r>
    </w:p>
    <w:p w14:paraId="17EB61C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遵循程序合法、公开公正、足额补偿、妥善安置的原则，切实维护被征收人的合法权益。</w:t>
      </w:r>
    </w:p>
    <w:p w14:paraId="59C3CC8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w:t>
      </w:r>
      <w:r>
        <w:rPr>
          <w:rFonts w:hint="default" w:ascii="Times New Roman" w:hAnsi="Times New Roman" w:eastAsia="方正黑体_GBK" w:cs="Times New Roman"/>
          <w:color w:val="auto"/>
          <w:sz w:val="32"/>
          <w:szCs w:val="32"/>
          <w:lang w:eastAsia="zh-CN"/>
        </w:rPr>
        <w:t>征收</w:t>
      </w:r>
      <w:r>
        <w:rPr>
          <w:rFonts w:hint="default" w:ascii="Times New Roman" w:hAnsi="Times New Roman" w:eastAsia="方正黑体_GBK" w:cs="Times New Roman"/>
          <w:color w:val="auto"/>
          <w:sz w:val="32"/>
          <w:szCs w:val="32"/>
        </w:rPr>
        <w:t>实施程序</w:t>
      </w:r>
    </w:p>
    <w:p w14:paraId="7D80807A">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sz w:val="32"/>
          <w:szCs w:val="32"/>
        </w:rPr>
        <w:t>（一）</w:t>
      </w:r>
      <w:r>
        <w:rPr>
          <w:rFonts w:hint="default" w:ascii="Times New Roman" w:hAnsi="Times New Roman" w:eastAsia="方正仿宋_GBK" w:cs="Times New Roman"/>
          <w:color w:val="auto"/>
          <w:sz w:val="32"/>
          <w:szCs w:val="32"/>
        </w:rPr>
        <w:t>拟征收土地范围确定后，</w:t>
      </w:r>
      <w:r>
        <w:rPr>
          <w:rFonts w:hint="default" w:ascii="Times New Roman" w:hAnsi="Times New Roman" w:eastAsia="方正仿宋_GBK" w:cs="Times New Roman"/>
          <w:color w:val="auto"/>
          <w:kern w:val="0"/>
          <w:sz w:val="32"/>
          <w:szCs w:val="32"/>
        </w:rPr>
        <w:t>县人民政府在拟征收土地所在的镇和村、村民小组范围内和政府门户网站发布征收土地预公告（公告时间不少于十个工作日）。自预公告发布之日起，任何单位和个人不得在拟征收范围内抢栽抢建。违反规定抢栽抢建的，对抢栽抢建部分不予补偿。</w:t>
      </w:r>
    </w:p>
    <w:p w14:paraId="29191DD2">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（二）</w:t>
      </w:r>
      <w:r>
        <w:rPr>
          <w:rFonts w:hint="default" w:ascii="Times New Roman" w:hAnsi="Times New Roman" w:eastAsia="方正仿宋_GBK" w:cs="Times New Roman"/>
          <w:color w:val="auto"/>
          <w:kern w:val="0"/>
          <w:sz w:val="32"/>
          <w:szCs w:val="32"/>
        </w:rPr>
        <w:t>征收土地预公告</w:t>
      </w:r>
      <w:r>
        <w:rPr>
          <w:rFonts w:hint="default" w:ascii="Times New Roman" w:hAnsi="Times New Roman" w:eastAsia="方正仿宋_GBK" w:cs="Times New Roman"/>
          <w:color w:val="auto"/>
          <w:sz w:val="32"/>
          <w:szCs w:val="32"/>
          <w:shd w:val="clear" w:color="auto" w:fill="FFFFFF"/>
        </w:rPr>
        <w:t>发布后，分别由实施单位和</w:t>
      </w:r>
      <w:r>
        <w:rPr>
          <w:rFonts w:hint="default" w:ascii="Times New Roman" w:hAnsi="Times New Roman" w:eastAsia="方正仿宋_GBK" w:cs="Times New Roman"/>
          <w:color w:val="auto"/>
          <w:sz w:val="32"/>
          <w:szCs w:val="32"/>
        </w:rPr>
        <w:t>县自然资源和规划局</w:t>
      </w:r>
      <w:r>
        <w:rPr>
          <w:rFonts w:hint="default" w:ascii="Times New Roman" w:hAnsi="Times New Roman" w:eastAsia="方正仿宋_GBK" w:cs="Times New Roman"/>
          <w:color w:val="auto"/>
          <w:sz w:val="32"/>
          <w:szCs w:val="32"/>
          <w:shd w:val="clear" w:color="auto" w:fill="FFFFFF"/>
        </w:rPr>
        <w:t>开展拟征收土地的现状调查和社会稳定风险评估。</w:t>
      </w:r>
    </w:p>
    <w:p w14:paraId="147715B3">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（三）</w:t>
      </w:r>
      <w:r>
        <w:rPr>
          <w:rFonts w:hint="default" w:ascii="Times New Roman" w:hAnsi="Times New Roman" w:eastAsia="方正仿宋_GBK" w:cs="Times New Roman"/>
          <w:color w:val="auto"/>
          <w:sz w:val="32"/>
          <w:szCs w:val="32"/>
          <w:shd w:val="clear" w:color="auto" w:fill="FFFFFF"/>
        </w:rPr>
        <w:t>依据土地现状调查和社会稳定风险评估结果，</w:t>
      </w:r>
      <w:r>
        <w:rPr>
          <w:rFonts w:hint="default" w:ascii="Times New Roman" w:hAnsi="Times New Roman" w:eastAsia="方正仿宋_GBK" w:cs="Times New Roman"/>
          <w:color w:val="auto"/>
          <w:kern w:val="0"/>
          <w:sz w:val="32"/>
          <w:szCs w:val="32"/>
        </w:rPr>
        <w:t>县人民政府</w:t>
      </w:r>
      <w:r>
        <w:rPr>
          <w:rFonts w:hint="default" w:ascii="Times New Roman" w:hAnsi="Times New Roman" w:eastAsia="方正仿宋_GBK" w:cs="Times New Roman"/>
          <w:color w:val="auto"/>
          <w:sz w:val="32"/>
          <w:szCs w:val="32"/>
          <w:shd w:val="clear" w:color="auto" w:fill="FFFFFF"/>
        </w:rPr>
        <w:t>组织有关部门，拟订征地补偿安置方案，</w:t>
      </w:r>
      <w:r>
        <w:rPr>
          <w:rFonts w:hint="default" w:ascii="Times New Roman" w:hAnsi="Times New Roman" w:eastAsia="方正仿宋_GBK" w:cs="Times New Roman"/>
          <w:color w:val="auto"/>
          <w:kern w:val="0"/>
          <w:sz w:val="32"/>
          <w:szCs w:val="32"/>
        </w:rPr>
        <w:t>并在拟征收土地所在的镇和村、村民小组范围内公告（不少于三十日），听取被征地的农村集体经济组织及其成员、村民委员会和其他利害关系人的意见。</w:t>
      </w:r>
    </w:p>
    <w:p w14:paraId="2D668E5A">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（四）</w:t>
      </w:r>
      <w:r>
        <w:rPr>
          <w:rFonts w:hint="default" w:ascii="Times New Roman" w:hAnsi="Times New Roman" w:eastAsia="方正仿宋_GBK" w:cs="Times New Roman"/>
          <w:color w:val="auto"/>
          <w:kern w:val="0"/>
          <w:sz w:val="32"/>
          <w:szCs w:val="32"/>
        </w:rPr>
        <w:t>征地补偿安置方案经县人民政府审核确定后，实施单位应与被征收人就安置方式、安置地点、安置面积、补偿金额、搬迁费、过渡方式和过渡期限、临时安置费、搬迁期限及奖励等事项签订补偿安置协议。被征收人应当在补偿安置协议约定的期限内腾空并交付被征收房屋。</w:t>
      </w:r>
    </w:p>
    <w:p w14:paraId="2E9B0A05">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个别未达成补偿安置协议的，在征收土地公告发布后，由县人民政府根据土地现状调查结果、征地补偿安置方案等依法作出征地补偿安置决定，并送达被征收人。</w:t>
      </w:r>
    </w:p>
    <w:p w14:paraId="67FD45A0">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（五）</w:t>
      </w:r>
      <w:r>
        <w:rPr>
          <w:rFonts w:hint="default" w:ascii="Times New Roman" w:hAnsi="Times New Roman" w:eastAsia="方正仿宋_GBK" w:cs="Times New Roman"/>
          <w:color w:val="auto"/>
          <w:kern w:val="0"/>
          <w:sz w:val="32"/>
          <w:szCs w:val="32"/>
        </w:rPr>
        <w:t>被征收人违反法律、法规规定，阻挠国家建设征收土地，在补偿安置协议生效后或者征地补偿安置决定规定的期限内拒不交出土地的，由县人民政府依法责令交出土地。拒不交出土地的，依法申请人民法院强制执行。</w:t>
      </w:r>
    </w:p>
    <w:p w14:paraId="40EBC96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六、被征农用地青苗补偿标准</w:t>
      </w:r>
    </w:p>
    <w:p w14:paraId="4C11336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被征农用地青苗补偿标准按照《黄山市人民政府关于公布黄山市被征收土地地上附着物及青苗等补偿标准的通知》（黄政秘〔2020〕34号）规定执行。</w:t>
      </w:r>
    </w:p>
    <w:p w14:paraId="64B7B75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七、房屋征收补偿安置</w:t>
      </w:r>
    </w:p>
    <w:p w14:paraId="5304A9F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outlineLvl w:val="0"/>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（一）房屋征收补偿内容。</w:t>
      </w:r>
    </w:p>
    <w:p w14:paraId="35BA405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1.被征收房屋的补偿；</w:t>
      </w:r>
    </w:p>
    <w:p w14:paraId="5CBAEB1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2.因征收房屋造成的搬迁、临时安置的补偿；</w:t>
      </w:r>
    </w:p>
    <w:p w14:paraId="2EDA0A4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3.因征收房屋造成的停产停业损失的补偿；</w:t>
      </w:r>
    </w:p>
    <w:p w14:paraId="3AD0913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4.法律及政策规定的其他补助及奖励。</w:t>
      </w:r>
    </w:p>
    <w:p w14:paraId="1CF9984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outlineLvl w:val="0"/>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（二）征收土地预公告发布之日起，在拟征收范围内，下列情形不作为补偿的依据：</w:t>
      </w:r>
    </w:p>
    <w:p w14:paraId="4C596095">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1.新建、扩建、改建房屋；</w:t>
      </w:r>
    </w:p>
    <w:p w14:paraId="3A171F3D">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2.改变土地、房屋用途；</w:t>
      </w:r>
    </w:p>
    <w:p w14:paraId="571BA45F">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3.房屋析产、转让、租赁、抵押；</w:t>
      </w:r>
    </w:p>
    <w:p w14:paraId="41B18E9C">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4.新申领的工商营业执照、民办非企业单位法人登记证书或事业单位法人资格；</w:t>
      </w:r>
    </w:p>
    <w:p w14:paraId="533A3E4A">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5.其他不当增加补偿的情形。</w:t>
      </w:r>
    </w:p>
    <w:p w14:paraId="2A3A4F82">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县自然资源和规划局应当将前款所列事项及时通知有关部门停止办理相关手续。</w:t>
      </w:r>
    </w:p>
    <w:p w14:paraId="67001C5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楷体_GBK" w:cs="Times New Roman"/>
          <w:b w:val="0"/>
          <w:bCs/>
          <w:color w:val="auto"/>
          <w:sz w:val="32"/>
          <w:szCs w:val="32"/>
        </w:rPr>
        <w:t>（三）房屋合法性认定。</w:t>
      </w:r>
    </w:p>
    <w:p w14:paraId="2D217F1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1.对被征收房屋性质、用途和建筑面积的认定，以房屋权属证书和不动产登记簿的记载为主要依据。权属证书与登记簿不一致的，以不动产登记簿为准。</w:t>
      </w:r>
    </w:p>
    <w:p w14:paraId="7F4D082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2.经依法批准并获得建设用地许可证的，或能提供其他有效批准材料并经认可后，可作为其房屋产权的合法权属依据。</w:t>
      </w:r>
    </w:p>
    <w:p w14:paraId="7C2AAB0F">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（四）房屋征收补偿安置方式。</w:t>
      </w:r>
    </w:p>
    <w:p w14:paraId="51904BE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被征收房屋用途为住宅的，可以采取货币化安置、房屋产权调换安置、宅基地安置三种方式，被征收人可</w:t>
      </w:r>
      <w:r>
        <w:rPr>
          <w:rFonts w:hint="default" w:ascii="Times New Roman" w:hAnsi="Times New Roman" w:eastAsia="方正仿宋_GBK" w:cs="Times New Roman"/>
          <w:color w:val="auto"/>
          <w:sz w:val="32"/>
          <w:szCs w:val="32"/>
          <w:shd w:val="clear" w:color="auto" w:fill="FFFFFF"/>
        </w:rPr>
        <w:t>选择其中一种方式进行安置</w:t>
      </w:r>
      <w:r>
        <w:rPr>
          <w:rFonts w:hint="default" w:ascii="Times New Roman" w:hAnsi="Times New Roman" w:eastAsia="方正仿宋_GBK" w:cs="Times New Roman"/>
          <w:color w:val="auto"/>
          <w:sz w:val="32"/>
          <w:szCs w:val="32"/>
        </w:rPr>
        <w:t>。实施单位根据规划确定的宅基地分配完毕后，不再安排宅基地安置，被征收人一律选择货币化安置或房屋产权调换安置。被征收房屋用途为非住宅的，一律采用货币化补偿安置。</w:t>
      </w:r>
    </w:p>
    <w:p w14:paraId="69943DC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b/>
          <w:bCs/>
          <w:color w:val="auto"/>
          <w:sz w:val="32"/>
          <w:szCs w:val="32"/>
        </w:rPr>
        <w:t>货币化安置</w:t>
      </w:r>
    </w:p>
    <w:p w14:paraId="7E44335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（1）由有资质的房屋价值评估机构根据被征收房屋的区位、用途、建筑面积、建筑结构、新旧程度、楼层、朝向等因素进行价值评估。</w:t>
      </w:r>
    </w:p>
    <w:p w14:paraId="4459459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（2）货币化补偿包括房屋评估价值补偿、装修附属物补偿、搬迁费补助、临时安置费、非住宅房屋停产停业损失费、按期签约和按期搬迁奖励等。房屋所占用土地，按照采用宗地地价评估的方式进行补偿。</w:t>
      </w:r>
    </w:p>
    <w:p w14:paraId="3C7E8C5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（3）房屋性质为住宅、户建筑面积超过240㎡的，240㎡</w:t>
      </w:r>
      <w:r>
        <w:rPr>
          <w:rFonts w:hint="default" w:ascii="Times New Roman" w:hAnsi="Times New Roman" w:eastAsia="方正仿宋_GBK" w:cs="Times New Roman"/>
          <w:color w:val="auto"/>
          <w:sz w:val="32"/>
          <w:szCs w:val="32"/>
          <w:lang w:eastAsia="zh-CN"/>
        </w:rPr>
        <w:t>部分</w:t>
      </w:r>
      <w:r>
        <w:rPr>
          <w:rFonts w:hint="default" w:ascii="Times New Roman" w:hAnsi="Times New Roman" w:eastAsia="方正仿宋_GBK" w:cs="Times New Roman"/>
          <w:color w:val="auto"/>
          <w:sz w:val="32"/>
          <w:szCs w:val="32"/>
        </w:rPr>
        <w:t>参照国有土地上的房屋评估价进行补偿，其余部分按重置价格予以补偿。建筑面积不足240㎡的，按实际建筑面积参照国有土地上的房屋评估价进行补偿。</w:t>
      </w:r>
    </w:p>
    <w:p w14:paraId="15A201A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房产评估机构由实施单位组织被征收人，在公布的参选评估机构中协商选定。如协商不成，则通过公开投票的方法，以少数服从多数的原则选定评估机构；参与投票户数未过半的，采取抽签或摇号方式选定。</w:t>
      </w:r>
    </w:p>
    <w:p w14:paraId="49EAB59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（5）被征收人选择货币化补偿安置的，按签订补偿安置协议的顺序，可在安置方案指定的安置房源内，按</w:t>
      </w:r>
      <w:r>
        <w:rPr>
          <w:rFonts w:hint="default" w:ascii="Times New Roman" w:hAnsi="Times New Roman" w:eastAsia="方正仿宋_GBK" w:cs="Times New Roman"/>
          <w:color w:val="auto"/>
          <w:sz w:val="32"/>
          <w:szCs w:val="32"/>
          <w:u w:val="none"/>
          <w:lang w:eastAsia="zh-CN"/>
        </w:rPr>
        <w:t>县政府确定</w:t>
      </w:r>
      <w:r>
        <w:rPr>
          <w:rFonts w:hint="default" w:ascii="Times New Roman" w:hAnsi="Times New Roman" w:eastAsia="方正仿宋_GBK" w:cs="Times New Roman"/>
          <w:color w:val="auto"/>
          <w:sz w:val="32"/>
          <w:szCs w:val="32"/>
        </w:rPr>
        <w:t>的价格选购安置房一套。被征收人满足以下列条件之一的，可按上述价格再选购一套小户型安置房（面积9</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㎡以内）：①被征收</w:t>
      </w:r>
      <w:r>
        <w:rPr>
          <w:rFonts w:hint="default" w:ascii="Times New Roman" w:hAnsi="Times New Roman" w:eastAsia="方正仿宋_GBK" w:cs="Times New Roman"/>
          <w:color w:val="auto"/>
          <w:sz w:val="32"/>
          <w:szCs w:val="32"/>
          <w:lang w:eastAsia="zh-CN"/>
        </w:rPr>
        <w:t>人</w:t>
      </w:r>
      <w:r>
        <w:rPr>
          <w:rFonts w:hint="default" w:ascii="Times New Roman" w:hAnsi="Times New Roman" w:eastAsia="方正仿宋_GBK" w:cs="Times New Roman"/>
          <w:color w:val="auto"/>
          <w:sz w:val="32"/>
          <w:szCs w:val="32"/>
        </w:rPr>
        <w:t>符合分户条件；②被征收人户籍人口在5人以上（含5人）。</w:t>
      </w:r>
    </w:p>
    <w:p w14:paraId="4736404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bCs/>
          <w:color w:val="auto"/>
          <w:sz w:val="32"/>
          <w:szCs w:val="32"/>
          <w:lang w:eastAsia="zh-CN"/>
        </w:rPr>
        <w:t>房屋</w:t>
      </w:r>
      <w:r>
        <w:rPr>
          <w:rFonts w:hint="default" w:ascii="Times New Roman" w:hAnsi="Times New Roman" w:eastAsia="方正仿宋_GBK" w:cs="Times New Roman"/>
          <w:b/>
          <w:bCs/>
          <w:color w:val="auto"/>
          <w:sz w:val="32"/>
          <w:szCs w:val="32"/>
        </w:rPr>
        <w:t>产权调换</w:t>
      </w:r>
      <w:r>
        <w:rPr>
          <w:rFonts w:hint="default" w:ascii="Times New Roman" w:hAnsi="Times New Roman" w:eastAsia="方正仿宋_GBK" w:cs="Times New Roman"/>
          <w:b/>
          <w:bCs/>
          <w:color w:val="auto"/>
          <w:sz w:val="32"/>
          <w:szCs w:val="32"/>
          <w:lang w:eastAsia="zh-CN"/>
        </w:rPr>
        <w:t>安置</w:t>
      </w:r>
    </w:p>
    <w:p w14:paraId="3EC514C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被征收人选择</w:t>
      </w:r>
      <w:r>
        <w:rPr>
          <w:rFonts w:hint="default" w:ascii="Times New Roman" w:hAnsi="Times New Roman" w:eastAsia="方正仿宋_GBK" w:cs="Times New Roman"/>
          <w:b w:val="0"/>
          <w:bCs w:val="0"/>
          <w:color w:val="auto"/>
          <w:sz w:val="32"/>
          <w:szCs w:val="32"/>
          <w:lang w:eastAsia="zh-CN"/>
        </w:rPr>
        <w:t>房屋</w:t>
      </w:r>
      <w:r>
        <w:rPr>
          <w:rFonts w:hint="default" w:ascii="Times New Roman" w:hAnsi="Times New Roman" w:eastAsia="方正仿宋_GBK" w:cs="Times New Roman"/>
          <w:b w:val="0"/>
          <w:bCs w:val="0"/>
          <w:color w:val="auto"/>
          <w:sz w:val="32"/>
          <w:szCs w:val="32"/>
        </w:rPr>
        <w:t>产权调换</w:t>
      </w:r>
      <w:r>
        <w:rPr>
          <w:rFonts w:hint="default" w:ascii="Times New Roman" w:hAnsi="Times New Roman" w:eastAsia="方正仿宋_GBK" w:cs="Times New Roman"/>
          <w:b w:val="0"/>
          <w:bCs w:val="0"/>
          <w:color w:val="auto"/>
          <w:sz w:val="32"/>
          <w:szCs w:val="32"/>
          <w:lang w:eastAsia="zh-CN"/>
        </w:rPr>
        <w:t>安置</w:t>
      </w:r>
      <w:r>
        <w:rPr>
          <w:rFonts w:hint="default" w:ascii="Times New Roman" w:hAnsi="Times New Roman" w:eastAsia="方正仿宋_GBK" w:cs="Times New Roman"/>
          <w:b w:val="0"/>
          <w:bCs w:val="0"/>
          <w:color w:val="auto"/>
          <w:sz w:val="32"/>
          <w:szCs w:val="32"/>
        </w:rPr>
        <w:t>的</w:t>
      </w:r>
      <w:r>
        <w:rPr>
          <w:rFonts w:hint="default" w:ascii="Times New Roman" w:hAnsi="Times New Roman" w:eastAsia="方正仿宋_GBK" w:cs="Times New Roman"/>
          <w:color w:val="auto"/>
          <w:sz w:val="32"/>
          <w:szCs w:val="32"/>
        </w:rPr>
        <w:t>，可在政府建设的安置房或指定的商品房开发小区进行调换</w:t>
      </w:r>
      <w:r>
        <w:rPr>
          <w:rFonts w:hint="default" w:ascii="Times New Roman" w:hAnsi="Times New Roman" w:eastAsia="方正仿宋_GBK" w:cs="Times New Roman"/>
          <w:color w:val="auto"/>
          <w:sz w:val="32"/>
          <w:szCs w:val="32"/>
          <w:lang w:eastAsia="zh-CN"/>
        </w:rPr>
        <w:t>安置</w:t>
      </w:r>
      <w:r>
        <w:rPr>
          <w:rFonts w:hint="default" w:ascii="Times New Roman" w:hAnsi="Times New Roman" w:eastAsia="方正仿宋_GBK" w:cs="Times New Roman"/>
          <w:color w:val="auto"/>
          <w:sz w:val="32"/>
          <w:szCs w:val="32"/>
        </w:rPr>
        <w:t>。户建筑面积超240㎡的，按240㎡计算安置面积；户建筑面积不足240㎡的，按实际建筑面积计算安置面积。</w:t>
      </w:r>
    </w:p>
    <w:p w14:paraId="01D406B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选择安置在政府建设的安置房的，按1:1.2的比例进行产权调换；</w:t>
      </w:r>
    </w:p>
    <w:p w14:paraId="2CD8490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选择顶层安置房的，按该安置房面积的20%×该安置房单价计算金额予以奖励；</w:t>
      </w:r>
    </w:p>
    <w:p w14:paraId="4A64B1A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选择在</w:t>
      </w:r>
      <w:r>
        <w:rPr>
          <w:rFonts w:hint="default" w:ascii="Times New Roman" w:hAnsi="Times New Roman" w:eastAsia="方正仿宋_GBK" w:cs="Times New Roman"/>
          <w:color w:val="auto"/>
          <w:sz w:val="32"/>
          <w:szCs w:val="32"/>
          <w:lang w:eastAsia="zh-CN"/>
        </w:rPr>
        <w:t>政府</w:t>
      </w:r>
      <w:r>
        <w:rPr>
          <w:rFonts w:hint="default" w:ascii="Times New Roman" w:hAnsi="Times New Roman" w:eastAsia="方正仿宋_GBK" w:cs="Times New Roman"/>
          <w:color w:val="auto"/>
          <w:sz w:val="32"/>
          <w:szCs w:val="32"/>
        </w:rPr>
        <w:t>指定的商品房开发小区的，按1:1的比例进行产权调换。</w:t>
      </w:r>
    </w:p>
    <w:p w14:paraId="52A58A7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（2）安置房房号的选择，由被征收人按签订征收安置补偿协议的先后顺序在安置房范围选择（即先签协议先选房），选完为止。</w:t>
      </w:r>
    </w:p>
    <w:p w14:paraId="389B58C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（3）产权调换结算方式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被征收房屋（户建筑面积240㎡范围内）与安置房置换后剩余产权面积部分，按货币化安置价格予以补偿；超出240㎡范围部分按重置评估价予以货币补偿。</w:t>
      </w:r>
    </w:p>
    <w:p w14:paraId="41F34F9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安置房面积超出被征收房屋面积的，超出部分由安置户按</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政府确定的价格予以补齐。</w:t>
      </w:r>
    </w:p>
    <w:p w14:paraId="495764C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b/>
          <w:bCs/>
          <w:color w:val="auto"/>
          <w:sz w:val="32"/>
          <w:szCs w:val="32"/>
        </w:rPr>
        <w:t>宅基地安置</w:t>
      </w:r>
    </w:p>
    <w:p w14:paraId="76205DF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b/>
          <w:bCs/>
          <w:color w:val="auto"/>
          <w:sz w:val="32"/>
          <w:szCs w:val="32"/>
        </w:rPr>
        <w:t>补偿确定。</w:t>
      </w:r>
      <w:r>
        <w:rPr>
          <w:rFonts w:hint="default" w:ascii="Times New Roman" w:hAnsi="Times New Roman" w:eastAsia="方正仿宋_GBK" w:cs="Times New Roman"/>
          <w:color w:val="auto"/>
          <w:sz w:val="32"/>
          <w:szCs w:val="32"/>
        </w:rPr>
        <w:t>被征收人选择宅基地安置的，其房屋征收补偿采用建筑物重置成本结合成新度评估方式予以确认，重置成本不包括土地的取得成本及相关税费。</w:t>
      </w:r>
    </w:p>
    <w:p w14:paraId="7ED7170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bCs/>
          <w:color w:val="auto"/>
          <w:sz w:val="32"/>
          <w:szCs w:val="32"/>
        </w:rPr>
        <w:t>安置条件。</w:t>
      </w:r>
      <w:r>
        <w:rPr>
          <w:rFonts w:hint="default" w:ascii="Times New Roman" w:hAnsi="Times New Roman" w:eastAsia="方正仿宋_GBK" w:cs="Times New Roman"/>
          <w:color w:val="auto"/>
          <w:sz w:val="32"/>
          <w:szCs w:val="32"/>
        </w:rPr>
        <w:t>选择宅基地安置方式的被征收人，以户口在籍人员且属于该村集体经济组织成员为依据认定安置人口。以下几种情形通过调查后由所在乡镇、村、组审核认定：现在部队服现役的义务兵和四级以下（含四级）士官；现在中小学、大中专院校就读的在校学生；现在监狱服刑的人员；本集体经济组织成员的配偶（常住征收地、在本县行政区域内无宅基地、未享受住房福利待遇的）及其未成年子女。</w:t>
      </w:r>
    </w:p>
    <w:p w14:paraId="0B67DA9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有下列情形之一的，不计入</w:t>
      </w:r>
      <w:bookmarkStart w:id="1" w:name="_Hlk126335298"/>
      <w:r>
        <w:rPr>
          <w:rFonts w:hint="default" w:ascii="Times New Roman" w:hAnsi="Times New Roman" w:eastAsia="方正仿宋_GBK" w:cs="Times New Roman"/>
          <w:color w:val="auto"/>
          <w:sz w:val="32"/>
          <w:szCs w:val="32"/>
        </w:rPr>
        <w:t>宅</w:t>
      </w:r>
      <w:bookmarkEnd w:id="1"/>
      <w:r>
        <w:rPr>
          <w:rFonts w:hint="default" w:ascii="Times New Roman" w:hAnsi="Times New Roman" w:eastAsia="方正仿宋_GBK" w:cs="Times New Roman"/>
          <w:color w:val="auto"/>
          <w:sz w:val="32"/>
          <w:szCs w:val="32"/>
        </w:rPr>
        <w:t>基地安置人口：寄住、寄养、寄读以及空挂户口的；另有宅基地、房屋或已享受住房福利的；已经享受过征收补偿安置的；属于机关、事业单位在编人员以及国有企业正式录用人员。</w:t>
      </w:r>
    </w:p>
    <w:p w14:paraId="796AF99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非本集体经济组织成员，户口在近邻村组的原农业户在籍人员，在本集体土地房屋上居住30年以上，且在其他集体经济组织未享受宅基地和住房福利待遇的，可参照本集体组织成员进行安置。</w:t>
      </w:r>
    </w:p>
    <w:p w14:paraId="4CAF698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b/>
          <w:bCs/>
          <w:color w:val="auto"/>
          <w:sz w:val="32"/>
          <w:szCs w:val="32"/>
        </w:rPr>
        <w:t>分户安置认定</w:t>
      </w:r>
    </w:p>
    <w:p w14:paraId="716FE72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①户数及家庭人口数认定截止时间以土地征收预公告发布之日为准。</w:t>
      </w:r>
    </w:p>
    <w:p w14:paraId="6839423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②分户应以家庭实际人口构成情况为依据，以户籍登记、婚姻登记为参考，被征收人未成年子女不得分户，被征收人有多个子女的，必须有一个子女与父母同户。</w:t>
      </w:r>
    </w:p>
    <w:p w14:paraId="598CBBB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③夫妻之间不能单独立户，有多幢主体房屋的，面积可合并计算，</w:t>
      </w:r>
      <w:r>
        <w:rPr>
          <w:rFonts w:hint="default" w:ascii="Times New Roman" w:hAnsi="Times New Roman" w:eastAsia="方正仿宋_GBK" w:cs="Times New Roman"/>
          <w:color w:val="auto"/>
          <w:sz w:val="32"/>
          <w:szCs w:val="32"/>
          <w:lang w:eastAsia="zh-CN"/>
        </w:rPr>
        <w:t>但</w:t>
      </w:r>
      <w:r>
        <w:rPr>
          <w:rFonts w:hint="default" w:ascii="Times New Roman" w:hAnsi="Times New Roman" w:eastAsia="方正仿宋_GBK" w:cs="Times New Roman"/>
          <w:color w:val="auto"/>
          <w:sz w:val="32"/>
          <w:szCs w:val="32"/>
        </w:rPr>
        <w:t>只能计算一户。</w:t>
      </w:r>
    </w:p>
    <w:p w14:paraId="1448573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④对符合以下条件之一的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可根据申请另行安置一块宅基地：子女二人以上（含二人）已成家，事实符合分户条件的；子女二人以上（含二人）并均已达到法定结婚年龄，确需分户建房的。</w:t>
      </w:r>
    </w:p>
    <w:p w14:paraId="359EF52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宅基地分配办法</w:t>
      </w:r>
    </w:p>
    <w:p w14:paraId="5449E45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①宅基地安置必须符合“一户一宅”原则，无论“一户”现有几处住房，均安置一块宅基地。如被征收人另有宅基地的不适用宅基地安置。</w:t>
      </w:r>
    </w:p>
    <w:p w14:paraId="2E81012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②宅基地安置地块由实施单位根据规划予以确定，每户宅基地占地面积不超过160㎡。根据被征收人签订补偿安置协议的先后顺序分配，先签先选，直到宅基地分配完为止。</w:t>
      </w:r>
    </w:p>
    <w:p w14:paraId="78804E7F">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③家庭人口多于5人（含5人）的，可在政府所建安置小区范围内以</w:t>
      </w:r>
      <w:r>
        <w:rPr>
          <w:rFonts w:hint="default" w:ascii="Times New Roman" w:hAnsi="Times New Roman" w:eastAsia="方正仿宋_GBK" w:cs="Times New Roman"/>
          <w:color w:val="auto"/>
          <w:sz w:val="32"/>
          <w:szCs w:val="32"/>
          <w:u w:val="none"/>
          <w:lang w:eastAsia="zh-CN"/>
        </w:rPr>
        <w:t>县政府确定的价格</w:t>
      </w:r>
      <w:r>
        <w:rPr>
          <w:rFonts w:hint="default" w:ascii="Times New Roman" w:hAnsi="Times New Roman" w:eastAsia="方正仿宋_GBK" w:cs="Times New Roman"/>
          <w:color w:val="auto"/>
          <w:sz w:val="32"/>
          <w:szCs w:val="32"/>
        </w:rPr>
        <w:t>另行购买小户型（面积</w:t>
      </w:r>
      <w:r>
        <w:rPr>
          <w:rFonts w:hint="default" w:ascii="Times New Roman" w:hAnsi="Times New Roman" w:eastAsia="方正仿宋_GBK" w:cs="Times New Roman"/>
          <w:color w:val="auto"/>
          <w:sz w:val="32"/>
          <w:szCs w:val="32"/>
          <w:u w:val="none"/>
        </w:rPr>
        <w:t>90㎡</w:t>
      </w:r>
      <w:r>
        <w:rPr>
          <w:rFonts w:hint="default" w:ascii="Times New Roman" w:hAnsi="Times New Roman" w:eastAsia="方正仿宋_GBK" w:cs="Times New Roman"/>
          <w:color w:val="auto"/>
          <w:sz w:val="32"/>
          <w:szCs w:val="32"/>
          <w:lang w:eastAsia="zh-CN"/>
        </w:rPr>
        <w:t>以内</w:t>
      </w:r>
      <w:r>
        <w:rPr>
          <w:rFonts w:hint="default" w:ascii="Times New Roman" w:hAnsi="Times New Roman" w:eastAsia="方正仿宋_GBK" w:cs="Times New Roman"/>
          <w:color w:val="auto"/>
          <w:sz w:val="32"/>
          <w:szCs w:val="32"/>
        </w:rPr>
        <w:t>）安置房一套。根据被征收人签订补偿安置协议的先后顺序选购，先签先选。</w:t>
      </w:r>
    </w:p>
    <w:p w14:paraId="35CFE0D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④被征收人自行解决宅基地，选址需符合村庄规划，由被征收人提出建房申请，镇政府负责办理建房</w:t>
      </w:r>
      <w:r>
        <w:rPr>
          <w:rFonts w:hint="default" w:ascii="Times New Roman" w:hAnsi="Times New Roman" w:eastAsia="方正仿宋_GBK" w:cs="Times New Roman"/>
          <w:color w:val="auto"/>
          <w:sz w:val="32"/>
          <w:szCs w:val="32"/>
          <w:lang w:eastAsia="zh-CN"/>
        </w:rPr>
        <w:t>审批</w:t>
      </w:r>
      <w:r>
        <w:rPr>
          <w:rFonts w:hint="default" w:ascii="Times New Roman" w:hAnsi="Times New Roman" w:eastAsia="方正仿宋_GBK" w:cs="Times New Roman"/>
          <w:color w:val="auto"/>
          <w:sz w:val="32"/>
          <w:szCs w:val="32"/>
        </w:rPr>
        <w:t>手续，并给予一次性奖励15万元。</w:t>
      </w:r>
    </w:p>
    <w:p w14:paraId="63B854E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⑤凡符合宅基地安置条件</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自愿退出宅基地的，每放弃一块宅基地，一次性奖励</w:t>
      </w:r>
      <w:r>
        <w:rPr>
          <w:rFonts w:hint="default" w:ascii="Times New Roman" w:hAnsi="Times New Roman" w:eastAsia="方正仿宋_GBK" w:cs="Times New Roman"/>
          <w:color w:val="auto"/>
          <w:sz w:val="32"/>
          <w:szCs w:val="32"/>
          <w:u w:val="none"/>
        </w:rPr>
        <w:t>50</w:t>
      </w:r>
      <w:r>
        <w:rPr>
          <w:rFonts w:hint="default" w:ascii="Times New Roman" w:hAnsi="Times New Roman" w:eastAsia="方正仿宋_GBK" w:cs="Times New Roman"/>
          <w:color w:val="auto"/>
          <w:sz w:val="32"/>
          <w:szCs w:val="32"/>
        </w:rPr>
        <w:t>万元。</w:t>
      </w:r>
    </w:p>
    <w:p w14:paraId="057CD82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rPr>
        <w:t>（五）房屋建筑重置成本指导标准</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房屋征收成新率对照表（</w:t>
      </w:r>
      <w:r>
        <w:rPr>
          <w:rFonts w:hint="default" w:ascii="Times New Roman" w:hAnsi="Times New Roman" w:eastAsia="方正楷体_GBK" w:cs="Times New Roman"/>
          <w:b w:val="0"/>
          <w:bCs/>
          <w:color w:val="auto"/>
          <w:sz w:val="32"/>
          <w:szCs w:val="32"/>
          <w:lang w:eastAsia="zh-CN"/>
        </w:rPr>
        <w:t>见</w:t>
      </w:r>
      <w:r>
        <w:rPr>
          <w:rFonts w:hint="default" w:ascii="Times New Roman" w:hAnsi="Times New Roman" w:eastAsia="方正楷体_GBK" w:cs="Times New Roman"/>
          <w:b w:val="0"/>
          <w:bCs/>
          <w:color w:val="auto"/>
          <w:sz w:val="32"/>
          <w:szCs w:val="32"/>
        </w:rPr>
        <w:t>附件</w:t>
      </w:r>
      <w:r>
        <w:rPr>
          <w:rFonts w:hint="default" w:ascii="Times New Roman" w:hAnsi="Times New Roman" w:eastAsia="方正楷体_GBK" w:cs="Times New Roman"/>
          <w:b w:val="0"/>
          <w:bCs/>
          <w:color w:val="auto"/>
          <w:sz w:val="32"/>
          <w:szCs w:val="32"/>
          <w:lang w:val="en-US" w:eastAsia="zh-CN"/>
        </w:rPr>
        <w:t>2、3</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w:t>
      </w:r>
    </w:p>
    <w:p w14:paraId="6A0DF8A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rPr>
        <w:t>（六）房屋室内外装修、附属物等补偿标准（</w:t>
      </w:r>
      <w:r>
        <w:rPr>
          <w:rFonts w:hint="default" w:ascii="Times New Roman" w:hAnsi="Times New Roman" w:eastAsia="方正楷体_GBK" w:cs="Times New Roman"/>
          <w:b w:val="0"/>
          <w:bCs/>
          <w:color w:val="auto"/>
          <w:sz w:val="32"/>
          <w:szCs w:val="32"/>
          <w:lang w:eastAsia="zh-CN"/>
        </w:rPr>
        <w:t>见</w:t>
      </w:r>
      <w:r>
        <w:rPr>
          <w:rFonts w:hint="default" w:ascii="Times New Roman" w:hAnsi="Times New Roman" w:eastAsia="方正楷体_GBK" w:cs="Times New Roman"/>
          <w:b w:val="0"/>
          <w:bCs/>
          <w:color w:val="auto"/>
          <w:sz w:val="32"/>
          <w:szCs w:val="32"/>
        </w:rPr>
        <w:t>附件</w:t>
      </w:r>
      <w:r>
        <w:rPr>
          <w:rFonts w:hint="default" w:ascii="Times New Roman" w:hAnsi="Times New Roman" w:eastAsia="方正楷体_GBK" w:cs="Times New Roman"/>
          <w:b w:val="0"/>
          <w:bCs/>
          <w:color w:val="auto"/>
          <w:sz w:val="32"/>
          <w:szCs w:val="32"/>
          <w:lang w:val="en-US" w:eastAsia="zh-CN"/>
        </w:rPr>
        <w:t>4</w:t>
      </w: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w:t>
      </w:r>
    </w:p>
    <w:p w14:paraId="21FB18A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七</w:t>
      </w:r>
      <w:r>
        <w:rPr>
          <w:rFonts w:hint="default" w:ascii="Times New Roman" w:hAnsi="Times New Roman" w:eastAsia="方正楷体_GBK" w:cs="Times New Roman"/>
          <w:b w:val="0"/>
          <w:bCs/>
          <w:color w:val="auto"/>
          <w:sz w:val="32"/>
          <w:szCs w:val="32"/>
        </w:rPr>
        <w:t>）临时安置费。</w:t>
      </w:r>
    </w:p>
    <w:p w14:paraId="036FCE0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临时安置费根据被征收房屋的产权面积，按每月6元/㎡的标准一次性计发，不足500元/月的按500元/月计发。</w:t>
      </w:r>
    </w:p>
    <w:p w14:paraId="089B1B7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1.选择货币化安置的，临时安置费按4个月计发；</w:t>
      </w:r>
    </w:p>
    <w:p w14:paraId="5719907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2.选择</w:t>
      </w:r>
      <w:r>
        <w:rPr>
          <w:rFonts w:hint="default" w:ascii="Times New Roman" w:hAnsi="Times New Roman" w:eastAsia="方正仿宋_GBK" w:cs="Times New Roman"/>
          <w:color w:val="auto"/>
          <w:sz w:val="32"/>
          <w:szCs w:val="32"/>
          <w:lang w:eastAsia="zh-CN"/>
        </w:rPr>
        <w:t>房屋</w:t>
      </w:r>
      <w:r>
        <w:rPr>
          <w:rFonts w:hint="default" w:ascii="Times New Roman" w:hAnsi="Times New Roman" w:eastAsia="方正仿宋_GBK" w:cs="Times New Roman"/>
          <w:color w:val="auto"/>
          <w:sz w:val="32"/>
          <w:szCs w:val="32"/>
        </w:rPr>
        <w:t>产权调换安置的，临时安置费按12个月计发；</w:t>
      </w:r>
    </w:p>
    <w:p w14:paraId="6C6BB3D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3.选择宅基地安置的，临时安置费按12—24个月计发（具体以签约时间与宅基地交付时间间隔计算）</w:t>
      </w:r>
      <w:r>
        <w:rPr>
          <w:rFonts w:hint="default" w:ascii="Times New Roman" w:hAnsi="Times New Roman" w:eastAsia="方正仿宋_GBK" w:cs="Times New Roman"/>
          <w:color w:val="auto"/>
          <w:sz w:val="32"/>
          <w:szCs w:val="32"/>
          <w:lang w:eastAsia="zh-CN"/>
        </w:rPr>
        <w:t>。</w:t>
      </w:r>
    </w:p>
    <w:p w14:paraId="55747C1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八</w:t>
      </w:r>
      <w:r>
        <w:rPr>
          <w:rFonts w:hint="default" w:ascii="Times New Roman" w:hAnsi="Times New Roman" w:eastAsia="方正楷体_GBK" w:cs="Times New Roman"/>
          <w:b w:val="0"/>
          <w:bCs/>
          <w:color w:val="auto"/>
          <w:sz w:val="32"/>
          <w:szCs w:val="32"/>
        </w:rPr>
        <w:t>）搬迁补助费。</w:t>
      </w:r>
    </w:p>
    <w:p w14:paraId="291C8DF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1.选择</w:t>
      </w:r>
      <w:r>
        <w:rPr>
          <w:rFonts w:hint="default" w:ascii="Times New Roman" w:hAnsi="Times New Roman" w:eastAsia="方正仿宋_GBK" w:cs="Times New Roman"/>
          <w:color w:val="auto"/>
          <w:sz w:val="32"/>
          <w:szCs w:val="32"/>
          <w:lang w:eastAsia="zh-CN"/>
        </w:rPr>
        <w:t>房屋</w:t>
      </w:r>
      <w:r>
        <w:rPr>
          <w:rFonts w:hint="default" w:ascii="Times New Roman" w:hAnsi="Times New Roman" w:eastAsia="方正仿宋_GBK" w:cs="Times New Roman"/>
          <w:color w:val="auto"/>
          <w:sz w:val="32"/>
          <w:szCs w:val="32"/>
        </w:rPr>
        <w:t>产权调换安置的，搬迁补助费按被征收房屋的产权面积计算二次搬迁费用。补助标准为15元/㎡（</w:t>
      </w:r>
      <w:r>
        <w:rPr>
          <w:rFonts w:hint="default" w:ascii="Times New Roman" w:hAnsi="Times New Roman" w:eastAsia="方正仿宋_GBK" w:cs="Times New Roman"/>
          <w:color w:val="auto"/>
          <w:sz w:val="32"/>
          <w:szCs w:val="32"/>
          <w:lang w:eastAsia="zh-CN"/>
        </w:rPr>
        <w:t>每次</w:t>
      </w:r>
      <w:r>
        <w:rPr>
          <w:rFonts w:hint="default" w:ascii="Times New Roman" w:hAnsi="Times New Roman" w:eastAsia="方正仿宋_GBK" w:cs="Times New Roman"/>
          <w:color w:val="auto"/>
          <w:sz w:val="32"/>
          <w:szCs w:val="32"/>
        </w:rPr>
        <w:t>不足</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000元的按</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000元计），其计算公式为：搬迁补助费=被征收房屋产权面积（㎡）×15元/㎡×2次。</w:t>
      </w:r>
    </w:p>
    <w:p w14:paraId="43E8C74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2.选择货币化补偿的，搬迁补助费根据被征收房屋的产权面积计算一次搬迁费。补助标准为15元/㎡（不足1000元的按1000元计），其计算公式为：搬迁补助费=被征收房屋产权面积（㎡）×15元/㎡×1次。</w:t>
      </w:r>
    </w:p>
    <w:p w14:paraId="112F788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3.选择宅基地安置的，搬迁补助费按被征收房屋的产权面积计算二次搬迁费用。补助标准为15元/㎡（</w:t>
      </w:r>
      <w:r>
        <w:rPr>
          <w:rFonts w:hint="default" w:ascii="Times New Roman" w:hAnsi="Times New Roman" w:eastAsia="方正仿宋_GBK" w:cs="Times New Roman"/>
          <w:color w:val="auto"/>
          <w:sz w:val="32"/>
          <w:szCs w:val="32"/>
          <w:lang w:eastAsia="zh-CN"/>
        </w:rPr>
        <w:t>每次</w:t>
      </w:r>
      <w:r>
        <w:rPr>
          <w:rFonts w:hint="default" w:ascii="Times New Roman" w:hAnsi="Times New Roman" w:eastAsia="方正仿宋_GBK" w:cs="Times New Roman"/>
          <w:color w:val="auto"/>
          <w:sz w:val="32"/>
          <w:szCs w:val="32"/>
        </w:rPr>
        <w:t>不足</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000元的按</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000元计），其计算公式为：搬迁补助费=被征收房屋产权面积（㎡）×15元/㎡×2次。</w:t>
      </w:r>
    </w:p>
    <w:p w14:paraId="546EA63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4.用途为非住宅的房屋，按被征收房屋合法建筑面积14元/㎡一次性计算搬迁补助，如有重机械，搬迁费用进行评估确定。</w:t>
      </w:r>
    </w:p>
    <w:p w14:paraId="58CE73D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eastAsia="zh-CN"/>
        </w:rPr>
        <w:t>九</w:t>
      </w:r>
      <w:r>
        <w:rPr>
          <w:rFonts w:hint="default" w:ascii="Times New Roman" w:hAnsi="Times New Roman" w:eastAsia="方正楷体_GBK" w:cs="Times New Roman"/>
          <w:b w:val="0"/>
          <w:bCs/>
          <w:color w:val="auto"/>
          <w:sz w:val="32"/>
          <w:szCs w:val="32"/>
        </w:rPr>
        <w:t>）停产停业损失补偿费。</w:t>
      </w:r>
      <w:r>
        <w:rPr>
          <w:rFonts w:hint="default" w:ascii="Times New Roman" w:hAnsi="Times New Roman" w:eastAsia="方正仿宋_GBK" w:cs="Times New Roman"/>
          <w:color w:val="auto"/>
          <w:sz w:val="32"/>
          <w:szCs w:val="32"/>
        </w:rPr>
        <w:t>对于征收用于经营的合法房屋须在土地征收预公告发布前实际用于经营且工商、税务登记齐全并在有效期内。其他农副产品加工和经营的，</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实施单位审核确认。补偿金额为经营用房25元/㎡×12个月，工业用房12元/㎡×6个月。</w:t>
      </w:r>
    </w:p>
    <w:p w14:paraId="70EA1BA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（十）奖励政策</w:t>
      </w:r>
    </w:p>
    <w:p w14:paraId="62964EA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1.选择</w:t>
      </w:r>
      <w:r>
        <w:rPr>
          <w:rFonts w:hint="default" w:ascii="Times New Roman" w:hAnsi="Times New Roman" w:eastAsia="方正仿宋_GBK" w:cs="Times New Roman"/>
          <w:b w:val="0"/>
          <w:bCs/>
          <w:color w:val="auto"/>
          <w:sz w:val="32"/>
          <w:szCs w:val="32"/>
          <w:lang w:eastAsia="zh-CN"/>
        </w:rPr>
        <w:t>房屋产权调安置换</w:t>
      </w:r>
      <w:r>
        <w:rPr>
          <w:rFonts w:hint="default" w:ascii="Times New Roman" w:hAnsi="Times New Roman" w:eastAsia="方正仿宋_GBK" w:cs="Times New Roman"/>
          <w:b w:val="0"/>
          <w:bCs/>
          <w:color w:val="auto"/>
          <w:sz w:val="32"/>
          <w:szCs w:val="32"/>
        </w:rPr>
        <w:t>的，所</w:t>
      </w:r>
      <w:r>
        <w:rPr>
          <w:rFonts w:hint="default" w:ascii="Times New Roman" w:hAnsi="Times New Roman" w:eastAsia="方正仿宋_GBK" w:cs="Times New Roman"/>
          <w:b w:val="0"/>
          <w:bCs/>
          <w:color w:val="auto"/>
          <w:sz w:val="32"/>
          <w:szCs w:val="32"/>
          <w:lang w:eastAsia="zh-CN"/>
        </w:rPr>
        <w:t>调</w:t>
      </w:r>
      <w:r>
        <w:rPr>
          <w:rFonts w:hint="default" w:ascii="Times New Roman" w:hAnsi="Times New Roman" w:eastAsia="方正仿宋_GBK" w:cs="Times New Roman"/>
          <w:b w:val="0"/>
          <w:bCs/>
          <w:color w:val="auto"/>
          <w:sz w:val="32"/>
          <w:szCs w:val="32"/>
        </w:rPr>
        <w:t>换房屋建筑面积未超过被征收房屋建筑面积的，对</w:t>
      </w:r>
      <w:r>
        <w:rPr>
          <w:rFonts w:hint="default" w:ascii="Times New Roman" w:hAnsi="Times New Roman" w:eastAsia="方正仿宋_GBK" w:cs="Times New Roman"/>
          <w:b w:val="0"/>
          <w:bCs/>
          <w:color w:val="auto"/>
          <w:sz w:val="32"/>
          <w:szCs w:val="32"/>
          <w:lang w:eastAsia="zh-CN"/>
        </w:rPr>
        <w:t>调</w:t>
      </w:r>
      <w:r>
        <w:rPr>
          <w:rFonts w:hint="default" w:ascii="Times New Roman" w:hAnsi="Times New Roman" w:eastAsia="方正仿宋_GBK" w:cs="Times New Roman"/>
          <w:b w:val="0"/>
          <w:bCs/>
          <w:color w:val="auto"/>
          <w:sz w:val="32"/>
          <w:szCs w:val="32"/>
        </w:rPr>
        <w:t>换住房免征契税；</w:t>
      </w:r>
      <w:r>
        <w:rPr>
          <w:rFonts w:hint="default" w:ascii="Times New Roman" w:hAnsi="Times New Roman" w:eastAsia="方正仿宋_GBK" w:cs="Times New Roman"/>
          <w:b w:val="0"/>
          <w:bCs/>
          <w:color w:val="auto"/>
          <w:sz w:val="32"/>
          <w:szCs w:val="32"/>
          <w:lang w:eastAsia="zh-CN"/>
        </w:rPr>
        <w:t>调</w:t>
      </w:r>
      <w:r>
        <w:rPr>
          <w:rFonts w:hint="default" w:ascii="Times New Roman" w:hAnsi="Times New Roman" w:eastAsia="方正仿宋_GBK" w:cs="Times New Roman"/>
          <w:b w:val="0"/>
          <w:bCs/>
          <w:color w:val="auto"/>
          <w:sz w:val="32"/>
          <w:szCs w:val="32"/>
        </w:rPr>
        <w:t>换房屋建筑面积超过被征收房屋建筑面积的，对差额部分按规定征收契税。采取货币</w:t>
      </w:r>
      <w:r>
        <w:rPr>
          <w:rFonts w:hint="default" w:ascii="Times New Roman" w:hAnsi="Times New Roman" w:eastAsia="方正仿宋_GBK" w:cs="Times New Roman"/>
          <w:b w:val="0"/>
          <w:bCs/>
          <w:color w:val="auto"/>
          <w:sz w:val="32"/>
          <w:szCs w:val="32"/>
          <w:lang w:eastAsia="zh-CN"/>
        </w:rPr>
        <w:t>安置</w:t>
      </w:r>
      <w:r>
        <w:rPr>
          <w:rFonts w:hint="default" w:ascii="Times New Roman" w:hAnsi="Times New Roman" w:eastAsia="方正仿宋_GBK" w:cs="Times New Roman"/>
          <w:b w:val="0"/>
          <w:bCs/>
          <w:color w:val="auto"/>
          <w:sz w:val="32"/>
          <w:szCs w:val="32"/>
        </w:rPr>
        <w:t>的，</w:t>
      </w:r>
      <w:r>
        <w:rPr>
          <w:rFonts w:hint="default" w:ascii="Times New Roman" w:hAnsi="Times New Roman" w:eastAsia="方正仿宋_GBK" w:cs="Times New Roman"/>
          <w:b w:val="0"/>
          <w:bCs/>
          <w:color w:val="auto"/>
          <w:sz w:val="32"/>
          <w:szCs w:val="32"/>
          <w:lang w:eastAsia="zh-CN"/>
        </w:rPr>
        <w:t>被征收人</w:t>
      </w:r>
      <w:r>
        <w:rPr>
          <w:rFonts w:hint="default" w:ascii="Times New Roman" w:hAnsi="Times New Roman" w:eastAsia="方正仿宋_GBK" w:cs="Times New Roman"/>
          <w:b w:val="0"/>
          <w:bCs/>
          <w:color w:val="auto"/>
          <w:sz w:val="32"/>
          <w:szCs w:val="32"/>
        </w:rPr>
        <w:t>所购房屋成交价格未超过货币补偿额的，新购住房免征契税；购房成交价格超过房屋拆迁货币补偿额的（不含其他补偿、补助及奖励），对差价部分按规定征收契税。被征收人取得的货币补偿（含其他补偿、补助及奖励）按国家有关规定免征个人所得税。</w:t>
      </w:r>
    </w:p>
    <w:p w14:paraId="4429F9E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bCs/>
          <w:color w:val="auto"/>
          <w:sz w:val="32"/>
          <w:szCs w:val="32"/>
        </w:rPr>
        <w:t>签约奖：</w:t>
      </w:r>
      <w:r>
        <w:rPr>
          <w:rFonts w:hint="default" w:ascii="Times New Roman" w:hAnsi="Times New Roman" w:eastAsia="方正仿宋_GBK" w:cs="Times New Roman"/>
          <w:color w:val="auto"/>
          <w:kern w:val="0"/>
          <w:sz w:val="32"/>
          <w:szCs w:val="32"/>
        </w:rPr>
        <w:t>征地补偿安置方案</w:t>
      </w:r>
      <w:r>
        <w:rPr>
          <w:rFonts w:hint="default" w:ascii="Times New Roman" w:hAnsi="Times New Roman" w:eastAsia="方正仿宋_GBK" w:cs="Times New Roman"/>
          <w:color w:val="auto"/>
          <w:sz w:val="32"/>
          <w:szCs w:val="32"/>
        </w:rPr>
        <w:t>公告发布后，被征收人在规定的签约期限内签订征收补偿安置协议，根据征收房屋合法面积的评估价格（不含装潢）的20%给予签约奖。</w:t>
      </w:r>
    </w:p>
    <w:p w14:paraId="5E2CD4BF">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b/>
          <w:bCs/>
          <w:color w:val="auto"/>
          <w:sz w:val="32"/>
          <w:szCs w:val="32"/>
        </w:rPr>
        <w:t>搬迁奖：</w:t>
      </w:r>
      <w:r>
        <w:rPr>
          <w:rFonts w:hint="default" w:ascii="Times New Roman" w:hAnsi="Times New Roman" w:eastAsia="方正仿宋_GBK" w:cs="Times New Roman"/>
          <w:color w:val="auto"/>
          <w:sz w:val="32"/>
          <w:szCs w:val="32"/>
        </w:rPr>
        <w:t>被征收人在签约规定的期限内搬迁、</w:t>
      </w:r>
      <w:r>
        <w:rPr>
          <w:rFonts w:hint="default" w:ascii="Times New Roman" w:hAnsi="Times New Roman" w:eastAsia="方正仿宋_GBK" w:cs="Times New Roman"/>
          <w:color w:val="auto"/>
          <w:kern w:val="0"/>
          <w:sz w:val="32"/>
          <w:szCs w:val="32"/>
        </w:rPr>
        <w:t>腾空房屋并</w:t>
      </w:r>
      <w:r>
        <w:rPr>
          <w:rFonts w:hint="default" w:ascii="Times New Roman" w:hAnsi="Times New Roman" w:eastAsia="方正仿宋_GBK" w:cs="Times New Roman"/>
          <w:color w:val="auto"/>
          <w:sz w:val="32"/>
          <w:szCs w:val="32"/>
        </w:rPr>
        <w:t>交房的，给予按期搬迁奖：按被征收房屋面积50元/㎡予以奖励，奖励总额每户最高不超过20000元。</w:t>
      </w:r>
    </w:p>
    <w:p w14:paraId="23E2305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b/>
          <w:bCs/>
          <w:color w:val="auto"/>
          <w:sz w:val="32"/>
          <w:szCs w:val="32"/>
        </w:rPr>
        <w:t>建设奖：</w:t>
      </w:r>
      <w:r>
        <w:rPr>
          <w:rFonts w:hint="default" w:ascii="Times New Roman" w:hAnsi="Times New Roman" w:eastAsia="方正仿宋_GBK" w:cs="Times New Roman"/>
          <w:color w:val="auto"/>
          <w:sz w:val="32"/>
          <w:szCs w:val="32"/>
        </w:rPr>
        <w:t>为确保宅基地安置区房屋建设有序规范，选择宅基地安置方式的被征收人在签订征收补偿安置协议时，须缴纳宅基地建设成本费5万元/栋。被征收人按规划设计要求规范施工，建成房屋并经验收通过后，一次性奖励2.5万元/栋。</w:t>
      </w:r>
    </w:p>
    <w:p w14:paraId="0C1E8EB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八、其他附着物补偿标准（</w:t>
      </w:r>
      <w:r>
        <w:rPr>
          <w:rFonts w:hint="default" w:ascii="Times New Roman" w:hAnsi="Times New Roman" w:eastAsia="方正黑体_GBK" w:cs="Times New Roman"/>
          <w:color w:val="auto"/>
          <w:sz w:val="32"/>
          <w:szCs w:val="32"/>
          <w:lang w:eastAsia="zh-CN"/>
        </w:rPr>
        <w:t>见</w:t>
      </w: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5</w:t>
      </w:r>
      <w:r>
        <w:rPr>
          <w:rFonts w:hint="default" w:ascii="Times New Roman" w:hAnsi="Times New Roman" w:eastAsia="方正黑体_GBK" w:cs="Times New Roman"/>
          <w:color w:val="auto"/>
          <w:sz w:val="32"/>
          <w:szCs w:val="32"/>
        </w:rPr>
        <w:t>）</w:t>
      </w:r>
    </w:p>
    <w:p w14:paraId="35DBE1E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九、其他事项</w:t>
      </w:r>
    </w:p>
    <w:p w14:paraId="5852B30F">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（一）</w:t>
      </w:r>
      <w:r>
        <w:rPr>
          <w:rFonts w:hint="default" w:ascii="Times New Roman" w:hAnsi="Times New Roman" w:eastAsia="方正仿宋_GBK" w:cs="Times New Roman"/>
          <w:color w:val="auto"/>
          <w:sz w:val="32"/>
          <w:szCs w:val="32"/>
        </w:rPr>
        <w:t>被征收房屋现状为出租的，由产权人自行解除租赁关系。</w:t>
      </w:r>
    </w:p>
    <w:p w14:paraId="4A630612">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（二）</w:t>
      </w:r>
      <w:r>
        <w:rPr>
          <w:rFonts w:hint="default" w:ascii="Times New Roman" w:hAnsi="Times New Roman" w:eastAsia="方正仿宋_GBK" w:cs="Times New Roman"/>
          <w:color w:val="auto"/>
          <w:sz w:val="32"/>
          <w:szCs w:val="32"/>
        </w:rPr>
        <w:t>被认定为违法建筑的，原则上不予补偿。</w:t>
      </w:r>
    </w:p>
    <w:p w14:paraId="71324C9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1.被征收人在规定时限内自行拆除或同意由实施单位协助拆除的，按照不高于重置成本价的标准给予适当补偿，房屋附属物及装修补偿标准按</w:t>
      </w:r>
      <w:r>
        <w:rPr>
          <w:rFonts w:hint="default" w:ascii="Times New Roman" w:hAnsi="Times New Roman" w:eastAsia="方正仿宋_GBK" w:cs="Times New Roman"/>
          <w:color w:val="auto"/>
          <w:sz w:val="32"/>
          <w:szCs w:val="32"/>
          <w:lang w:eastAsia="zh-CN"/>
        </w:rPr>
        <w:t>照</w:t>
      </w: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执行</w:t>
      </w:r>
      <w:r>
        <w:rPr>
          <w:rFonts w:hint="default" w:ascii="Times New Roman" w:hAnsi="Times New Roman" w:eastAsia="方正仿宋_GBK" w:cs="Times New Roman"/>
          <w:color w:val="auto"/>
          <w:sz w:val="32"/>
          <w:szCs w:val="32"/>
          <w:lang w:eastAsia="zh-CN"/>
        </w:rPr>
        <w:t>。</w:t>
      </w:r>
    </w:p>
    <w:p w14:paraId="623E121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对征收前已建成并居住3年以上的房屋，无用地批准或土地房屋产权登记手续，但根据其家庭人口情况符合建房条件、且该房屋为家庭唯一住房的，经所属村委会、镇人民政府和县农业农村水利局、县自然资源和规划局核查确认后，参照合法房屋补偿。</w:t>
      </w:r>
    </w:p>
    <w:p w14:paraId="1AF2032D">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（三）</w:t>
      </w:r>
      <w:r>
        <w:rPr>
          <w:rFonts w:hint="default" w:ascii="Times New Roman" w:hAnsi="Times New Roman" w:eastAsia="方正仿宋_GBK" w:cs="Times New Roman"/>
          <w:color w:val="auto"/>
          <w:sz w:val="32"/>
          <w:szCs w:val="32"/>
        </w:rPr>
        <w:t>办理房屋不动产权证的相关费用由被征收人承担。</w:t>
      </w:r>
    </w:p>
    <w:p w14:paraId="5333C226">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（四）</w:t>
      </w:r>
      <w:r>
        <w:rPr>
          <w:rFonts w:hint="default" w:ascii="Times New Roman" w:hAnsi="Times New Roman" w:eastAsia="方正仿宋_GBK" w:cs="Times New Roman"/>
          <w:color w:val="auto"/>
          <w:sz w:val="32"/>
          <w:szCs w:val="32"/>
        </w:rPr>
        <w:t>在实际工作中遇到本</w:t>
      </w:r>
      <w:r>
        <w:rPr>
          <w:rFonts w:hint="default" w:ascii="Times New Roman" w:hAnsi="Times New Roman" w:eastAsia="方正仿宋_GBK" w:cs="Times New Roman"/>
          <w:color w:val="auto"/>
          <w:sz w:val="32"/>
          <w:szCs w:val="32"/>
          <w:lang w:eastAsia="zh-CN"/>
        </w:rPr>
        <w:t>意见</w:t>
      </w:r>
      <w:r>
        <w:rPr>
          <w:rFonts w:hint="default" w:ascii="Times New Roman" w:hAnsi="Times New Roman" w:eastAsia="方正仿宋_GBK" w:cs="Times New Roman"/>
          <w:color w:val="auto"/>
          <w:sz w:val="32"/>
          <w:szCs w:val="32"/>
        </w:rPr>
        <w:t>未明确的具体问题，由实施单位与被征收人协商解决。</w:t>
      </w:r>
    </w:p>
    <w:p w14:paraId="5324CEDE">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sz w:val="32"/>
          <w:szCs w:val="32"/>
        </w:rPr>
        <w:t>（五）</w:t>
      </w:r>
      <w:r>
        <w:rPr>
          <w:rFonts w:hint="default" w:ascii="Times New Roman" w:hAnsi="Times New Roman" w:eastAsia="方正仿宋_GBK" w:cs="Times New Roman"/>
          <w:color w:val="auto"/>
          <w:kern w:val="0"/>
          <w:sz w:val="32"/>
          <w:szCs w:val="32"/>
        </w:rPr>
        <w:t>本意见自印发之日起执行，执行期间，如遇法律、法规、规章有新规定的，按照新的规定执行。</w:t>
      </w:r>
    </w:p>
    <w:p w14:paraId="377F36FB">
      <w:pPr>
        <w:suppressAutoHyphens/>
        <w:bidi w:val="0"/>
        <w:jc w:val="left"/>
        <w:rPr>
          <w:rFonts w:hint="default" w:ascii="Times New Roman" w:hAnsi="Times New Roman" w:eastAsia="仿宋_GB2312" w:cs="Times New Roman"/>
          <w:color w:val="auto"/>
          <w:kern w:val="0"/>
          <w:sz w:val="32"/>
          <w:szCs w:val="32"/>
        </w:rPr>
      </w:pPr>
    </w:p>
    <w:p w14:paraId="163522AF">
      <w:pPr>
        <w:suppressAutoHyphens/>
        <w:bidi w:val="0"/>
        <w:jc w:val="left"/>
        <w:rPr>
          <w:rFonts w:hint="default" w:ascii="Times New Roman" w:hAnsi="Times New Roman" w:eastAsia="仿宋_GB2312" w:cs="Times New Roman"/>
          <w:color w:val="auto"/>
          <w:kern w:val="0"/>
          <w:sz w:val="32"/>
          <w:szCs w:val="32"/>
        </w:rPr>
      </w:pPr>
    </w:p>
    <w:p w14:paraId="6329166A">
      <w:pPr>
        <w:suppressAutoHyphens/>
        <w:bidi w:val="0"/>
        <w:jc w:val="left"/>
        <w:rPr>
          <w:rFonts w:hint="default" w:ascii="Times New Roman" w:hAnsi="Times New Roman" w:eastAsia="仿宋_GB2312" w:cs="Times New Roman"/>
          <w:color w:val="auto"/>
          <w:kern w:val="0"/>
          <w:sz w:val="32"/>
          <w:szCs w:val="32"/>
        </w:rPr>
      </w:pPr>
    </w:p>
    <w:p w14:paraId="1EEFAAFB">
      <w:pPr>
        <w:suppressAutoHyphens/>
        <w:bidi w:val="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246380</wp:posOffset>
            </wp:positionV>
            <wp:extent cx="5711190" cy="6167755"/>
            <wp:effectExtent l="0" t="0" r="3810" b="4445"/>
            <wp:wrapNone/>
            <wp:docPr id="7" name="图片 1" descr="附件1：休宁县中心城区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附件1：休宁县中心城区范围图"/>
                    <pic:cNvPicPr>
                      <a:picLocks noChangeAspect="1"/>
                    </pic:cNvPicPr>
                  </pic:nvPicPr>
                  <pic:blipFill>
                    <a:blip r:embed="rId6"/>
                    <a:stretch>
                      <a:fillRect/>
                    </a:stretch>
                  </pic:blipFill>
                  <pic:spPr>
                    <a:xfrm>
                      <a:off x="0" y="0"/>
                      <a:ext cx="5711190" cy="6167755"/>
                    </a:xfrm>
                    <a:prstGeom prst="rect">
                      <a:avLst/>
                    </a:prstGeom>
                    <a:noFill/>
                    <a:ln>
                      <a:noFill/>
                    </a:ln>
                  </pic:spPr>
                </pic:pic>
              </a:graphicData>
            </a:graphic>
          </wp:anchor>
        </w:drawing>
      </w:r>
    </w:p>
    <w:p w14:paraId="0566D65A">
      <w:pPr>
        <w:suppressAutoHyphens/>
        <w:bidi w:val="0"/>
        <w:jc w:val="left"/>
        <w:rPr>
          <w:rFonts w:hint="default" w:ascii="Times New Roman" w:hAnsi="Times New Roman" w:eastAsia="黑体" w:cs="Times New Roman"/>
          <w:color w:val="auto"/>
          <w:kern w:val="0"/>
          <w:sz w:val="32"/>
          <w:szCs w:val="32"/>
        </w:rPr>
      </w:pPr>
    </w:p>
    <w:p w14:paraId="105DB68E">
      <w:pPr>
        <w:suppressAutoHyphens/>
        <w:bidi w:val="0"/>
        <w:jc w:val="left"/>
        <w:rPr>
          <w:rFonts w:hint="default" w:ascii="Times New Roman" w:hAnsi="Times New Roman" w:eastAsia="黑体" w:cs="Times New Roman"/>
          <w:color w:val="auto"/>
          <w:kern w:val="0"/>
          <w:sz w:val="32"/>
          <w:szCs w:val="32"/>
        </w:rPr>
      </w:pPr>
    </w:p>
    <w:p w14:paraId="2334D047">
      <w:pPr>
        <w:suppressAutoHyphens/>
        <w:bidi w:val="0"/>
        <w:jc w:val="left"/>
        <w:rPr>
          <w:rFonts w:hint="default" w:ascii="Times New Roman" w:hAnsi="Times New Roman" w:eastAsia="黑体" w:cs="Times New Roman"/>
          <w:color w:val="auto"/>
          <w:kern w:val="0"/>
          <w:sz w:val="32"/>
          <w:szCs w:val="32"/>
        </w:rPr>
      </w:pPr>
    </w:p>
    <w:p w14:paraId="3F792596">
      <w:pPr>
        <w:suppressAutoHyphens/>
        <w:bidi w:val="0"/>
        <w:jc w:val="left"/>
        <w:rPr>
          <w:rFonts w:hint="default" w:ascii="Times New Roman" w:hAnsi="Times New Roman" w:eastAsia="黑体" w:cs="Times New Roman"/>
          <w:color w:val="auto"/>
          <w:kern w:val="0"/>
          <w:sz w:val="32"/>
          <w:szCs w:val="32"/>
        </w:rPr>
      </w:pPr>
    </w:p>
    <w:p w14:paraId="2C6FCB6A">
      <w:pPr>
        <w:suppressAutoHyphens/>
        <w:bidi w:val="0"/>
        <w:jc w:val="left"/>
        <w:rPr>
          <w:rFonts w:hint="default" w:ascii="Times New Roman" w:hAnsi="Times New Roman" w:eastAsia="黑体" w:cs="Times New Roman"/>
          <w:color w:val="auto"/>
          <w:kern w:val="0"/>
          <w:sz w:val="32"/>
          <w:szCs w:val="32"/>
        </w:rPr>
      </w:pPr>
    </w:p>
    <w:p w14:paraId="585C6E96">
      <w:pPr>
        <w:suppressAutoHyphens/>
        <w:bidi w:val="0"/>
        <w:jc w:val="left"/>
        <w:rPr>
          <w:rFonts w:hint="default" w:ascii="Times New Roman" w:hAnsi="Times New Roman" w:eastAsia="黑体" w:cs="Times New Roman"/>
          <w:color w:val="auto"/>
          <w:kern w:val="0"/>
          <w:sz w:val="32"/>
          <w:szCs w:val="32"/>
        </w:rPr>
      </w:pPr>
    </w:p>
    <w:p w14:paraId="50B7391F">
      <w:pPr>
        <w:suppressAutoHyphens/>
        <w:bidi w:val="0"/>
        <w:jc w:val="left"/>
        <w:rPr>
          <w:rFonts w:hint="default" w:ascii="Times New Roman" w:hAnsi="Times New Roman" w:eastAsia="黑体" w:cs="Times New Roman"/>
          <w:color w:val="auto"/>
          <w:kern w:val="0"/>
          <w:sz w:val="32"/>
          <w:szCs w:val="32"/>
        </w:rPr>
      </w:pPr>
    </w:p>
    <w:p w14:paraId="2DE1E7CD">
      <w:pPr>
        <w:suppressAutoHyphens/>
        <w:bidi w:val="0"/>
        <w:jc w:val="left"/>
        <w:rPr>
          <w:rFonts w:hint="default" w:ascii="Times New Roman" w:hAnsi="Times New Roman" w:eastAsia="黑体" w:cs="Times New Roman"/>
          <w:color w:val="auto"/>
          <w:kern w:val="0"/>
          <w:sz w:val="32"/>
          <w:szCs w:val="32"/>
        </w:rPr>
      </w:pPr>
    </w:p>
    <w:p w14:paraId="2CE82559">
      <w:pPr>
        <w:suppressAutoHyphens/>
        <w:bidi w:val="0"/>
        <w:jc w:val="left"/>
        <w:rPr>
          <w:rFonts w:hint="default" w:ascii="Times New Roman" w:hAnsi="Times New Roman" w:eastAsia="黑体" w:cs="Times New Roman"/>
          <w:color w:val="auto"/>
          <w:kern w:val="0"/>
          <w:sz w:val="32"/>
          <w:szCs w:val="32"/>
        </w:rPr>
      </w:pPr>
    </w:p>
    <w:p w14:paraId="318A9A63">
      <w:pPr>
        <w:suppressAutoHyphens/>
        <w:bidi w:val="0"/>
        <w:jc w:val="left"/>
        <w:rPr>
          <w:rFonts w:hint="default" w:ascii="Times New Roman" w:hAnsi="Times New Roman" w:eastAsia="黑体" w:cs="Times New Roman"/>
          <w:color w:val="auto"/>
          <w:kern w:val="0"/>
          <w:sz w:val="32"/>
          <w:szCs w:val="32"/>
        </w:rPr>
      </w:pPr>
    </w:p>
    <w:p w14:paraId="230EBE4A">
      <w:pPr>
        <w:suppressAutoHyphens/>
        <w:bidi w:val="0"/>
        <w:jc w:val="left"/>
        <w:rPr>
          <w:rFonts w:hint="default" w:ascii="Times New Roman" w:hAnsi="Times New Roman" w:eastAsia="黑体" w:cs="Times New Roman"/>
          <w:color w:val="auto"/>
          <w:kern w:val="0"/>
          <w:sz w:val="32"/>
          <w:szCs w:val="32"/>
        </w:rPr>
      </w:pPr>
    </w:p>
    <w:p w14:paraId="65A638E0">
      <w:pPr>
        <w:suppressAutoHyphens/>
        <w:bidi w:val="0"/>
        <w:jc w:val="left"/>
        <w:rPr>
          <w:rFonts w:hint="default" w:ascii="Times New Roman" w:hAnsi="Times New Roman" w:eastAsia="黑体" w:cs="Times New Roman"/>
          <w:color w:val="auto"/>
          <w:kern w:val="0"/>
          <w:sz w:val="32"/>
          <w:szCs w:val="32"/>
        </w:rPr>
      </w:pPr>
    </w:p>
    <w:p w14:paraId="4599E011">
      <w:pPr>
        <w:suppressAutoHyphens/>
        <w:bidi w:val="0"/>
        <w:jc w:val="left"/>
        <w:rPr>
          <w:rFonts w:hint="default" w:ascii="Times New Roman" w:hAnsi="Times New Roman" w:eastAsia="黑体" w:cs="Times New Roman"/>
          <w:color w:val="auto"/>
          <w:kern w:val="0"/>
          <w:sz w:val="32"/>
          <w:szCs w:val="32"/>
        </w:rPr>
      </w:pPr>
    </w:p>
    <w:p w14:paraId="131D25B3">
      <w:pPr>
        <w:suppressAutoHyphens/>
        <w:bidi w:val="0"/>
        <w:jc w:val="left"/>
        <w:rPr>
          <w:rFonts w:hint="default" w:ascii="Times New Roman" w:hAnsi="Times New Roman" w:eastAsia="黑体" w:cs="Times New Roman"/>
          <w:color w:val="auto"/>
          <w:kern w:val="0"/>
          <w:sz w:val="32"/>
          <w:szCs w:val="32"/>
        </w:rPr>
      </w:pPr>
    </w:p>
    <w:p w14:paraId="0BAF461D">
      <w:pPr>
        <w:suppressAutoHyphens/>
        <w:bidi w:val="0"/>
        <w:jc w:val="left"/>
        <w:rPr>
          <w:rFonts w:hint="default" w:ascii="Times New Roman" w:hAnsi="Times New Roman" w:eastAsia="黑体" w:cs="Times New Roman"/>
          <w:color w:val="auto"/>
          <w:kern w:val="0"/>
          <w:sz w:val="32"/>
          <w:szCs w:val="32"/>
        </w:rPr>
      </w:pPr>
    </w:p>
    <w:p w14:paraId="04987D32">
      <w:pPr>
        <w:suppressAutoHyphens/>
        <w:bidi w:val="0"/>
        <w:jc w:val="left"/>
        <w:rPr>
          <w:rFonts w:hint="default" w:ascii="Times New Roman" w:hAnsi="Times New Roman" w:eastAsia="黑体" w:cs="Times New Roman"/>
          <w:color w:val="auto"/>
          <w:kern w:val="0"/>
          <w:sz w:val="32"/>
          <w:szCs w:val="32"/>
        </w:rPr>
      </w:pPr>
    </w:p>
    <w:p w14:paraId="615D1389">
      <w:pPr>
        <w:suppressAutoHyphens/>
        <w:bidi w:val="0"/>
        <w:jc w:val="left"/>
        <w:rPr>
          <w:rFonts w:hint="default" w:ascii="Times New Roman" w:hAnsi="Times New Roman" w:eastAsia="黑体" w:cs="Times New Roman"/>
          <w:color w:val="auto"/>
          <w:kern w:val="0"/>
          <w:sz w:val="32"/>
          <w:szCs w:val="32"/>
        </w:rPr>
      </w:pPr>
    </w:p>
    <w:p w14:paraId="04C71C5E">
      <w:pPr>
        <w:suppressAutoHyphens/>
        <w:bidi w:val="0"/>
        <w:jc w:val="left"/>
        <w:rPr>
          <w:rFonts w:hint="default" w:ascii="Times New Roman" w:hAnsi="Times New Roman" w:eastAsia="黑体" w:cs="Times New Roman"/>
          <w:color w:val="auto"/>
          <w:kern w:val="0"/>
          <w:sz w:val="32"/>
          <w:szCs w:val="32"/>
        </w:rPr>
      </w:pPr>
    </w:p>
    <w:p w14:paraId="7343DB46">
      <w:pPr>
        <w:suppressAutoHyphens/>
        <w:bidi w:val="0"/>
        <w:jc w:val="left"/>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2</w:t>
      </w:r>
    </w:p>
    <w:p w14:paraId="6C9EE550">
      <w:pPr>
        <w:widowControl/>
        <w:suppressAutoHyphens/>
        <w:bidi w:val="0"/>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spacing w:val="8"/>
          <w:kern w:val="0"/>
          <w:sz w:val="36"/>
          <w:szCs w:val="36"/>
        </w:rPr>
        <w:t>房屋建筑重置成本指导标准</w:t>
      </w:r>
    </w:p>
    <w:tbl>
      <w:tblPr>
        <w:tblStyle w:val="11"/>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99"/>
        <w:gridCol w:w="7368"/>
      </w:tblGrid>
      <w:tr w14:paraId="497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99" w:type="dxa"/>
            <w:noWrap w:val="0"/>
            <w:vAlign w:val="center"/>
          </w:tcPr>
          <w:p w14:paraId="06417866">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方正黑体_GBK" w:cs="Times New Roman"/>
                <w:color w:val="auto"/>
                <w:kern w:val="0"/>
                <w:sz w:val="24"/>
                <w:szCs w:val="24"/>
              </w:rPr>
              <w:t>结构类型</w:t>
            </w:r>
          </w:p>
        </w:tc>
        <w:tc>
          <w:tcPr>
            <w:tcW w:w="1399" w:type="dxa"/>
            <w:noWrap w:val="0"/>
            <w:vAlign w:val="center"/>
          </w:tcPr>
          <w:p w14:paraId="4B914F05">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房屋建</w:t>
            </w:r>
            <w:r>
              <w:rPr>
                <w:rFonts w:hint="default" w:ascii="Times New Roman" w:hAnsi="Times New Roman" w:eastAsia="方正黑体_GBK" w:cs="Times New Roman"/>
                <w:color w:val="auto"/>
                <w:kern w:val="0"/>
                <w:sz w:val="24"/>
                <w:szCs w:val="24"/>
                <w:lang w:eastAsia="zh-CN"/>
              </w:rPr>
              <w:t>筑</w:t>
            </w:r>
            <w:r>
              <w:rPr>
                <w:rFonts w:hint="default" w:ascii="Times New Roman" w:hAnsi="Times New Roman" w:eastAsia="方正黑体_GBK" w:cs="Times New Roman"/>
                <w:color w:val="auto"/>
                <w:kern w:val="0"/>
                <w:sz w:val="24"/>
                <w:szCs w:val="24"/>
              </w:rPr>
              <w:t>重置价格</w:t>
            </w:r>
          </w:p>
          <w:p w14:paraId="3237FC52">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（元/㎡）</w:t>
            </w:r>
          </w:p>
        </w:tc>
        <w:tc>
          <w:tcPr>
            <w:tcW w:w="7368" w:type="dxa"/>
            <w:noWrap w:val="0"/>
            <w:vAlign w:val="center"/>
          </w:tcPr>
          <w:p w14:paraId="39AF6D71">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结构、装修及设备标准</w:t>
            </w:r>
          </w:p>
        </w:tc>
      </w:tr>
      <w:tr w14:paraId="352C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2E2CC79C">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钢混</w:t>
            </w:r>
          </w:p>
        </w:tc>
        <w:tc>
          <w:tcPr>
            <w:tcW w:w="1399" w:type="dxa"/>
            <w:noWrap w:val="0"/>
            <w:vAlign w:val="center"/>
          </w:tcPr>
          <w:p w14:paraId="17A22E45">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2200</w:t>
            </w:r>
          </w:p>
        </w:tc>
        <w:tc>
          <w:tcPr>
            <w:tcW w:w="7368" w:type="dxa"/>
            <w:noWrap w:val="0"/>
            <w:vAlign w:val="center"/>
          </w:tcPr>
          <w:p w14:paraId="222DDB73">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钢筋砼框架、排架梁柱承重和混合结构承重体系，标准砖围护墙体，现浇或预制楼板；平面布局合理；中级及其以上等级室内、外装饰标准；安装中级及其以上等级室内、外门窗；设施、设备配套且齐全。</w:t>
            </w:r>
          </w:p>
        </w:tc>
      </w:tr>
      <w:tr w14:paraId="7D95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32122EB3">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砖混一等</w:t>
            </w:r>
          </w:p>
        </w:tc>
        <w:tc>
          <w:tcPr>
            <w:tcW w:w="1399" w:type="dxa"/>
            <w:noWrap w:val="0"/>
            <w:vAlign w:val="center"/>
          </w:tcPr>
          <w:p w14:paraId="4667C506">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1600-1800</w:t>
            </w:r>
          </w:p>
        </w:tc>
        <w:tc>
          <w:tcPr>
            <w:tcW w:w="7368" w:type="dxa"/>
            <w:noWrap w:val="0"/>
            <w:vAlign w:val="center"/>
          </w:tcPr>
          <w:p w14:paraId="1CA8FFE5">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砖墙和钢筋砼承重结构体系；平面布局合理；中级及其以上等级室内、外装饰标准；设施、设备配套且齐全。</w:t>
            </w:r>
          </w:p>
        </w:tc>
      </w:tr>
      <w:tr w14:paraId="12B2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6CDC0C98">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砖混二等</w:t>
            </w:r>
          </w:p>
        </w:tc>
        <w:tc>
          <w:tcPr>
            <w:tcW w:w="1399" w:type="dxa"/>
            <w:noWrap w:val="0"/>
            <w:vAlign w:val="center"/>
          </w:tcPr>
          <w:p w14:paraId="6BF3CFC2">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1400-1600</w:t>
            </w:r>
          </w:p>
        </w:tc>
        <w:tc>
          <w:tcPr>
            <w:tcW w:w="7368" w:type="dxa"/>
            <w:noWrap w:val="0"/>
            <w:vAlign w:val="center"/>
          </w:tcPr>
          <w:p w14:paraId="6C18C035">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砖墙和钢筋砼（或预制砼）承重结构体系；平面布局基本合理；普通等级室内、外装饰标准；安装普通等级室内、外门窗；设施、设备基本配套、基本齐全。</w:t>
            </w:r>
          </w:p>
        </w:tc>
      </w:tr>
      <w:tr w14:paraId="235B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6A7F2518">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砖木一等</w:t>
            </w:r>
          </w:p>
        </w:tc>
        <w:tc>
          <w:tcPr>
            <w:tcW w:w="1399" w:type="dxa"/>
            <w:noWrap w:val="0"/>
            <w:vAlign w:val="center"/>
          </w:tcPr>
          <w:p w14:paraId="657C6305">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1400-1600</w:t>
            </w:r>
          </w:p>
        </w:tc>
        <w:tc>
          <w:tcPr>
            <w:tcW w:w="7368" w:type="dxa"/>
            <w:noWrap w:val="0"/>
            <w:vAlign w:val="center"/>
          </w:tcPr>
          <w:p w14:paraId="326B39F2">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砖木结构承重体系、瓦屋面；标准砖围护墙，木结构材料规整，材质中、上等级；砖木结构制作安装工艺中、高级；中级及其以上等级的室内、外装饰标准；平面布局合理；设施、设备配套且齐全。</w:t>
            </w:r>
          </w:p>
        </w:tc>
      </w:tr>
      <w:tr w14:paraId="7F2C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0FD81554">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砖木二等</w:t>
            </w:r>
          </w:p>
        </w:tc>
        <w:tc>
          <w:tcPr>
            <w:tcW w:w="1399" w:type="dxa"/>
            <w:noWrap w:val="0"/>
            <w:vAlign w:val="center"/>
          </w:tcPr>
          <w:p w14:paraId="7BE2711E">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1200-1400</w:t>
            </w:r>
          </w:p>
        </w:tc>
        <w:tc>
          <w:tcPr>
            <w:tcW w:w="7368" w:type="dxa"/>
            <w:noWrap w:val="0"/>
            <w:vAlign w:val="center"/>
          </w:tcPr>
          <w:p w14:paraId="21EB1C47">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砖木结构承重体系、瓦屋面；普通砖墙，木结构材料、材质一般；砖木结构制作安装工艺普通；普通等级室内、外装饰标准；平面布局基本合理；设施、设备基本配套、基本齐全。</w:t>
            </w:r>
          </w:p>
        </w:tc>
      </w:tr>
      <w:tr w14:paraId="719E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6C80958F">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砖木三等</w:t>
            </w:r>
          </w:p>
        </w:tc>
        <w:tc>
          <w:tcPr>
            <w:tcW w:w="1399" w:type="dxa"/>
            <w:noWrap w:val="0"/>
            <w:vAlign w:val="center"/>
          </w:tcPr>
          <w:p w14:paraId="62D2EF2A">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1000-1200</w:t>
            </w:r>
          </w:p>
        </w:tc>
        <w:tc>
          <w:tcPr>
            <w:tcW w:w="7368" w:type="dxa"/>
            <w:noWrap w:val="0"/>
            <w:vAlign w:val="center"/>
          </w:tcPr>
          <w:p w14:paraId="5ED52A0B">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砖木结构承重体系、瓦屋面；普通砖墙，木结构材料、材质一般或较低等级；砖木结构制作安装工艺简单；室内外装饰普通或无装饰；平面布局不太合理；设施、设备不配套且不齐全。</w:t>
            </w:r>
          </w:p>
        </w:tc>
      </w:tr>
      <w:tr w14:paraId="13E7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9" w:type="dxa"/>
            <w:noWrap w:val="0"/>
            <w:vAlign w:val="center"/>
          </w:tcPr>
          <w:p w14:paraId="7FBAF8CB">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简易</w:t>
            </w:r>
          </w:p>
        </w:tc>
        <w:tc>
          <w:tcPr>
            <w:tcW w:w="1399" w:type="dxa"/>
            <w:noWrap w:val="0"/>
            <w:vAlign w:val="center"/>
          </w:tcPr>
          <w:p w14:paraId="34C55D1D">
            <w:pPr>
              <w:keepNext w:val="0"/>
              <w:keepLines w:val="0"/>
              <w:pageBreakBefore w:val="0"/>
              <w:widowControl/>
              <w:suppressAutoHyphens/>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150-650</w:t>
            </w:r>
          </w:p>
        </w:tc>
        <w:tc>
          <w:tcPr>
            <w:tcW w:w="7368" w:type="dxa"/>
            <w:noWrap w:val="0"/>
            <w:vAlign w:val="center"/>
          </w:tcPr>
          <w:p w14:paraId="55672A35">
            <w:pPr>
              <w:keepNext w:val="0"/>
              <w:keepLines w:val="0"/>
              <w:pageBreakBefore w:val="0"/>
              <w:widowControl/>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土坯、砖坯、竹木等简易结构承重体系，瓦屋面或石棉瓦或油毡或玻璃钢瓦等屋面；室内外普通装饰或无装饰；设施、设备不配套、不齐全。</w:t>
            </w:r>
          </w:p>
        </w:tc>
      </w:tr>
    </w:tbl>
    <w:p w14:paraId="6496B083">
      <w:pPr>
        <w:keepNext w:val="0"/>
        <w:keepLines w:val="0"/>
        <w:pageBreakBefore w:val="0"/>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备注：上述房屋建安重置价格基于以下条件：</w:t>
      </w:r>
    </w:p>
    <w:p w14:paraId="60C8F815">
      <w:pPr>
        <w:keepNext w:val="0"/>
        <w:keepLines w:val="0"/>
        <w:pageBreakBefore w:val="0"/>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1.建筑物全新状况（基于十成新），达到合格等级质量标准，能满足一般使用功能。</w:t>
      </w:r>
    </w:p>
    <w:p w14:paraId="4CE9EDBF">
      <w:pPr>
        <w:keepNext w:val="0"/>
        <w:keepLines w:val="0"/>
        <w:pageBreakBefore w:val="0"/>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2.本房屋建筑重置成本不包含房屋室内外装修费用，室内外装修费用另行补偿</w:t>
      </w:r>
      <w:r>
        <w:rPr>
          <w:rFonts w:hint="default" w:ascii="Times New Roman" w:hAnsi="Times New Roman" w:eastAsia="方正楷体_GBK" w:cs="Times New Roman"/>
          <w:color w:val="auto"/>
          <w:kern w:val="0"/>
          <w:sz w:val="24"/>
          <w:szCs w:val="24"/>
          <w:lang w:eastAsia="zh-CN"/>
        </w:rPr>
        <w:t>。</w:t>
      </w:r>
    </w:p>
    <w:p w14:paraId="31B5CE37">
      <w:pPr>
        <w:keepNext w:val="0"/>
        <w:keepLines w:val="0"/>
        <w:pageBreakBefore w:val="0"/>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3.本房屋建筑重置成本不包括土地的取得成本及相关税费。</w:t>
      </w:r>
    </w:p>
    <w:p w14:paraId="3F019D09">
      <w:pPr>
        <w:keepNext w:val="0"/>
        <w:keepLines w:val="0"/>
        <w:pageBreakBefore w:val="0"/>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4.标准中的单位是每平方米建筑面积单价。</w:t>
      </w:r>
    </w:p>
    <w:p w14:paraId="1B54C0D1">
      <w:pPr>
        <w:keepNext w:val="0"/>
        <w:keepLines w:val="0"/>
        <w:pageBreakBefore w:val="0"/>
        <w:suppressAutoHyphens/>
        <w:kinsoku/>
        <w:wordWrap/>
        <w:overflowPunct/>
        <w:topLinePunct w:val="0"/>
        <w:autoSpaceDE/>
        <w:autoSpaceDN/>
        <w:bidi w:val="0"/>
        <w:adjustRightInd/>
        <w:snapToGrid/>
        <w:spacing w:line="320" w:lineRule="exact"/>
        <w:textAlignment w:val="auto"/>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5.具体补偿单价根据建筑物结构等级结合成新度确定。</w:t>
      </w:r>
    </w:p>
    <w:p w14:paraId="6001C487">
      <w:pPr>
        <w:widowControl/>
        <w:suppressAutoHyphens/>
        <w:bidi w:val="0"/>
        <w:snapToGrid w:val="0"/>
        <w:spacing w:line="570" w:lineRule="atLeast"/>
        <w:jc w:val="left"/>
        <w:rPr>
          <w:rFonts w:hint="default" w:ascii="Times New Roman" w:hAnsi="Times New Roman" w:eastAsia="方正黑体_GBK" w:cs="Times New Roman"/>
          <w:color w:val="auto"/>
          <w:spacing w:val="8"/>
          <w:kern w:val="0"/>
          <w:sz w:val="32"/>
          <w:szCs w:val="32"/>
          <w:lang w:val="en-US" w:eastAsia="zh-CN"/>
        </w:rPr>
      </w:pPr>
      <w:r>
        <w:rPr>
          <w:rFonts w:hint="default" w:ascii="Times New Roman" w:hAnsi="Times New Roman" w:eastAsia="方正黑体_GBK" w:cs="Times New Roman"/>
          <w:color w:val="auto"/>
          <w:spacing w:val="8"/>
          <w:kern w:val="0"/>
          <w:sz w:val="32"/>
          <w:szCs w:val="32"/>
        </w:rPr>
        <w:t>附件</w:t>
      </w:r>
      <w:r>
        <w:rPr>
          <w:rFonts w:hint="default" w:ascii="Times New Roman" w:hAnsi="Times New Roman" w:eastAsia="方正黑体_GBK" w:cs="Times New Roman"/>
          <w:color w:val="auto"/>
          <w:spacing w:val="8"/>
          <w:kern w:val="0"/>
          <w:sz w:val="32"/>
          <w:szCs w:val="32"/>
          <w:lang w:val="en-US" w:eastAsia="zh-CN"/>
        </w:rPr>
        <w:t>3</w:t>
      </w:r>
    </w:p>
    <w:p w14:paraId="24E50669">
      <w:pPr>
        <w:widowControl/>
        <w:suppressAutoHyphens/>
        <w:bidi w:val="0"/>
        <w:snapToGrid w:val="0"/>
        <w:spacing w:line="570" w:lineRule="atLeast"/>
        <w:jc w:val="center"/>
        <w:rPr>
          <w:rFonts w:hint="default" w:ascii="Times New Roman" w:hAnsi="Times New Roman" w:eastAsia="方正小标宋_GBK" w:cs="Times New Roman"/>
          <w:color w:val="auto"/>
          <w:spacing w:val="8"/>
          <w:kern w:val="0"/>
          <w:sz w:val="36"/>
          <w:szCs w:val="36"/>
        </w:rPr>
      </w:pPr>
      <w:r>
        <w:rPr>
          <w:rFonts w:hint="default" w:ascii="Times New Roman" w:hAnsi="Times New Roman" w:eastAsia="方正小标宋_GBK" w:cs="Times New Roman"/>
          <w:color w:val="auto"/>
          <w:spacing w:val="8"/>
          <w:kern w:val="0"/>
          <w:sz w:val="36"/>
          <w:szCs w:val="36"/>
        </w:rPr>
        <w:t>房屋征收成新率对照表</w:t>
      </w:r>
    </w:p>
    <w:tbl>
      <w:tblPr>
        <w:tblStyle w:val="11"/>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40"/>
        <w:gridCol w:w="1141"/>
        <w:gridCol w:w="1141"/>
        <w:gridCol w:w="1215"/>
        <w:gridCol w:w="1426"/>
        <w:gridCol w:w="1079"/>
      </w:tblGrid>
      <w:tr w14:paraId="6834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77" w:type="dxa"/>
            <w:noWrap w:val="0"/>
            <w:vAlign w:val="center"/>
          </w:tcPr>
          <w:p w14:paraId="0005A4B4">
            <w:pPr>
              <w:widowControl/>
              <w:suppressAutoHyphens/>
              <w:bidi w:val="0"/>
              <w:adjustRightInd w:val="0"/>
              <w:snapToGrid w:val="0"/>
              <w:spacing w:line="400" w:lineRule="exact"/>
              <w:jc w:val="center"/>
              <w:rPr>
                <w:rFonts w:hint="default" w:ascii="Times New Roman" w:hAnsi="Times New Roman" w:eastAsia="方正黑体_GBK" w:cs="Times New Roman"/>
                <w:bCs/>
                <w:color w:val="auto"/>
                <w:kern w:val="0"/>
                <w:sz w:val="24"/>
                <w:szCs w:val="24"/>
              </w:rPr>
            </w:pPr>
            <w:r>
              <w:rPr>
                <w:rFonts w:hint="default" w:ascii="Times New Roman" w:hAnsi="Times New Roman" w:eastAsia="方正黑体_GBK" w:cs="Times New Roman"/>
                <w:bCs/>
                <w:color w:val="auto"/>
                <w:kern w:val="0"/>
                <w:sz w:val="24"/>
                <w:szCs w:val="24"/>
              </w:rPr>
              <w:t>建筑年代</w:t>
            </w:r>
          </w:p>
        </w:tc>
        <w:tc>
          <w:tcPr>
            <w:tcW w:w="1140" w:type="dxa"/>
            <w:noWrap/>
            <w:vAlign w:val="center"/>
          </w:tcPr>
          <w:p w14:paraId="37968985">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3年内</w:t>
            </w:r>
          </w:p>
        </w:tc>
        <w:tc>
          <w:tcPr>
            <w:tcW w:w="1141" w:type="dxa"/>
            <w:noWrap/>
            <w:vAlign w:val="center"/>
          </w:tcPr>
          <w:p w14:paraId="027FAB50">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4－6年</w:t>
            </w:r>
          </w:p>
        </w:tc>
        <w:tc>
          <w:tcPr>
            <w:tcW w:w="1141" w:type="dxa"/>
            <w:noWrap/>
            <w:vAlign w:val="center"/>
          </w:tcPr>
          <w:p w14:paraId="3920F233">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7－10年</w:t>
            </w:r>
          </w:p>
        </w:tc>
        <w:tc>
          <w:tcPr>
            <w:tcW w:w="1215" w:type="dxa"/>
            <w:noWrap/>
            <w:vAlign w:val="center"/>
          </w:tcPr>
          <w:p w14:paraId="2514C3DC">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11－15年</w:t>
            </w:r>
          </w:p>
        </w:tc>
        <w:tc>
          <w:tcPr>
            <w:tcW w:w="1426" w:type="dxa"/>
            <w:noWrap/>
            <w:vAlign w:val="center"/>
          </w:tcPr>
          <w:p w14:paraId="23EC3F55">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16－20年</w:t>
            </w:r>
          </w:p>
          <w:p w14:paraId="146F2CBF">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（含20年）</w:t>
            </w:r>
          </w:p>
        </w:tc>
        <w:tc>
          <w:tcPr>
            <w:tcW w:w="1079" w:type="dxa"/>
            <w:noWrap/>
            <w:vAlign w:val="center"/>
          </w:tcPr>
          <w:p w14:paraId="5798BB3A">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20年</w:t>
            </w:r>
          </w:p>
          <w:p w14:paraId="28506F38">
            <w:pPr>
              <w:widowControl/>
              <w:suppressAutoHyphens/>
              <w:bidi w:val="0"/>
              <w:adjustRightInd w:val="0"/>
              <w:snapToGrid w:val="0"/>
              <w:spacing w:line="400" w:lineRule="exact"/>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以上</w:t>
            </w:r>
          </w:p>
        </w:tc>
      </w:tr>
      <w:tr w14:paraId="659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77" w:type="dxa"/>
            <w:noWrap w:val="0"/>
            <w:vAlign w:val="center"/>
          </w:tcPr>
          <w:p w14:paraId="0E5CC038">
            <w:pPr>
              <w:widowControl/>
              <w:suppressAutoHyphens/>
              <w:bidi w:val="0"/>
              <w:adjustRightInd w:val="0"/>
              <w:snapToGrid w:val="0"/>
              <w:spacing w:line="400" w:lineRule="exact"/>
              <w:jc w:val="center"/>
              <w:rPr>
                <w:rFonts w:hint="default" w:ascii="Times New Roman" w:hAnsi="Times New Roman" w:eastAsia="方正仿宋_GBK" w:cs="Times New Roman"/>
                <w:bCs/>
                <w:color w:val="auto"/>
                <w:kern w:val="0"/>
                <w:sz w:val="24"/>
                <w:szCs w:val="24"/>
              </w:rPr>
            </w:pPr>
            <w:r>
              <w:rPr>
                <w:rFonts w:hint="default" w:ascii="Times New Roman" w:hAnsi="Times New Roman" w:eastAsia="方正仿宋_GBK" w:cs="Times New Roman"/>
                <w:bCs/>
                <w:color w:val="auto"/>
                <w:kern w:val="0"/>
                <w:sz w:val="24"/>
                <w:szCs w:val="24"/>
              </w:rPr>
              <w:t>成新系数</w:t>
            </w:r>
          </w:p>
        </w:tc>
        <w:tc>
          <w:tcPr>
            <w:tcW w:w="1140" w:type="dxa"/>
            <w:noWrap/>
            <w:vAlign w:val="center"/>
          </w:tcPr>
          <w:p w14:paraId="69F0C3CE">
            <w:pPr>
              <w:widowControl/>
              <w:suppressAutoHyphens/>
              <w:bidi w:val="0"/>
              <w:adjustRightInd w:val="0"/>
              <w:snapToGrid w:val="0"/>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tc>
        <w:tc>
          <w:tcPr>
            <w:tcW w:w="1141" w:type="dxa"/>
            <w:noWrap/>
            <w:vAlign w:val="center"/>
          </w:tcPr>
          <w:p w14:paraId="5156CCCF">
            <w:pPr>
              <w:widowControl/>
              <w:suppressAutoHyphens/>
              <w:bidi w:val="0"/>
              <w:adjustRightInd w:val="0"/>
              <w:snapToGrid w:val="0"/>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0.95</w:t>
            </w:r>
          </w:p>
        </w:tc>
        <w:tc>
          <w:tcPr>
            <w:tcW w:w="1141" w:type="dxa"/>
            <w:noWrap/>
            <w:vAlign w:val="center"/>
          </w:tcPr>
          <w:p w14:paraId="2AF4F1F5">
            <w:pPr>
              <w:widowControl/>
              <w:suppressAutoHyphens/>
              <w:bidi w:val="0"/>
              <w:adjustRightInd w:val="0"/>
              <w:snapToGrid w:val="0"/>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0.9</w:t>
            </w:r>
          </w:p>
        </w:tc>
        <w:tc>
          <w:tcPr>
            <w:tcW w:w="1215" w:type="dxa"/>
            <w:noWrap/>
            <w:vAlign w:val="center"/>
          </w:tcPr>
          <w:p w14:paraId="11C9BE30">
            <w:pPr>
              <w:widowControl/>
              <w:suppressAutoHyphens/>
              <w:bidi w:val="0"/>
              <w:adjustRightInd w:val="0"/>
              <w:snapToGrid w:val="0"/>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0.85</w:t>
            </w:r>
          </w:p>
        </w:tc>
        <w:tc>
          <w:tcPr>
            <w:tcW w:w="1426" w:type="dxa"/>
            <w:noWrap/>
            <w:vAlign w:val="center"/>
          </w:tcPr>
          <w:p w14:paraId="3A8B3895">
            <w:pPr>
              <w:widowControl/>
              <w:suppressAutoHyphens/>
              <w:bidi w:val="0"/>
              <w:adjustRightInd w:val="0"/>
              <w:snapToGrid w:val="0"/>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0.8</w:t>
            </w:r>
          </w:p>
        </w:tc>
        <w:tc>
          <w:tcPr>
            <w:tcW w:w="1079" w:type="dxa"/>
            <w:noWrap/>
            <w:vAlign w:val="center"/>
          </w:tcPr>
          <w:p w14:paraId="4BD5AFAA">
            <w:pPr>
              <w:widowControl/>
              <w:suppressAutoHyphens/>
              <w:bidi w:val="0"/>
              <w:adjustRightInd w:val="0"/>
              <w:snapToGrid w:val="0"/>
              <w:spacing w:line="40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0.7</w:t>
            </w:r>
          </w:p>
        </w:tc>
      </w:tr>
    </w:tbl>
    <w:p w14:paraId="12EACF0B">
      <w:pPr>
        <w:suppressAutoHyphens/>
        <w:bidi w:val="0"/>
        <w:snapToGrid w:val="0"/>
        <w:spacing w:line="400" w:lineRule="exact"/>
        <w:ind w:firstLine="240" w:firstLineChars="100"/>
        <w:jc w:val="left"/>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bCs/>
          <w:color w:val="auto"/>
          <w:kern w:val="0"/>
          <w:sz w:val="24"/>
          <w:szCs w:val="24"/>
        </w:rPr>
        <w:t>备注：</w:t>
      </w:r>
      <w:r>
        <w:rPr>
          <w:rFonts w:hint="default" w:ascii="Times New Roman" w:hAnsi="Times New Roman" w:eastAsia="方正楷体_GBK" w:cs="Times New Roman"/>
          <w:color w:val="auto"/>
          <w:kern w:val="0"/>
          <w:sz w:val="24"/>
          <w:szCs w:val="24"/>
        </w:rPr>
        <w:t>建筑年代以竣工时间认定。</w:t>
      </w:r>
    </w:p>
    <w:p w14:paraId="26F58A3E">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5F608562">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2A453B8D">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3CE83BA1">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14B1448F">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517281E2">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5BBDA358">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3C00DC31">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0F0863F6">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554E5F93">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19B6ED02">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7E267DD4">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3528EFDD">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6B27C73B">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3E61BEEB">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2706D022">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5808A93B">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1346CD79">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5E383B20">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4EC90599">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6503B9A1">
      <w:pPr>
        <w:suppressAutoHyphens/>
        <w:bidi w:val="0"/>
        <w:snapToGrid w:val="0"/>
        <w:spacing w:line="400" w:lineRule="exact"/>
        <w:jc w:val="left"/>
        <w:rPr>
          <w:rFonts w:hint="default" w:ascii="Times New Roman" w:hAnsi="Times New Roman" w:eastAsia="黑体" w:cs="Times New Roman"/>
          <w:color w:val="auto"/>
          <w:kern w:val="0"/>
          <w:sz w:val="32"/>
          <w:szCs w:val="32"/>
        </w:rPr>
      </w:pPr>
    </w:p>
    <w:p w14:paraId="198A9EE0">
      <w:pPr>
        <w:suppressAutoHyphens/>
        <w:bidi w:val="0"/>
        <w:snapToGrid w:val="0"/>
        <w:spacing w:line="400" w:lineRule="exact"/>
        <w:jc w:val="left"/>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4</w:t>
      </w:r>
    </w:p>
    <w:p w14:paraId="159A0A4C">
      <w:pPr>
        <w:suppressAutoHyphens/>
        <w:bidi w:val="0"/>
        <w:spacing w:line="40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_GBK" w:cs="Times New Roman"/>
          <w:color w:val="auto"/>
          <w:sz w:val="36"/>
          <w:szCs w:val="36"/>
        </w:rPr>
        <w:t>房屋装修、附属及构筑物补偿标准</w:t>
      </w:r>
    </w:p>
    <w:p w14:paraId="41D05054">
      <w:pPr>
        <w:suppressAutoHyphens/>
        <w:bidi w:val="0"/>
        <w:spacing w:line="400" w:lineRule="exact"/>
        <w:ind w:firstLine="640" w:firstLineChars="200"/>
        <w:rPr>
          <w:rFonts w:hint="default" w:ascii="Times New Roman" w:hAnsi="Times New Roman" w:eastAsia="楷体_GB2312" w:cs="Times New Roman"/>
          <w:color w:val="auto"/>
          <w:sz w:val="32"/>
          <w:szCs w:val="32"/>
        </w:rPr>
      </w:pPr>
    </w:p>
    <w:p w14:paraId="72A4E243">
      <w:pPr>
        <w:suppressAutoHyphens/>
        <w:bidi w:val="0"/>
        <w:spacing w:line="400" w:lineRule="exact"/>
        <w:ind w:firstLine="640" w:firstLineChars="200"/>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1.房屋装修补偿标准</w:t>
      </w:r>
    </w:p>
    <w:tbl>
      <w:tblPr>
        <w:tblStyle w:val="11"/>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72"/>
        <w:gridCol w:w="618"/>
        <w:gridCol w:w="2104"/>
        <w:gridCol w:w="1945"/>
        <w:gridCol w:w="3174"/>
      </w:tblGrid>
      <w:tr w14:paraId="6E65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63" w:type="dxa"/>
            <w:gridSpan w:val="4"/>
            <w:noWrap/>
            <w:vAlign w:val="center"/>
          </w:tcPr>
          <w:p w14:paraId="35041021">
            <w:pPr>
              <w:suppressAutoHyphens/>
              <w:bidi w:val="0"/>
              <w:snapToGrid w:val="0"/>
              <w:spacing w:line="30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名称</w:t>
            </w:r>
          </w:p>
        </w:tc>
        <w:tc>
          <w:tcPr>
            <w:tcW w:w="1945" w:type="dxa"/>
            <w:noWrap/>
            <w:vAlign w:val="center"/>
          </w:tcPr>
          <w:p w14:paraId="328DA2E9">
            <w:pPr>
              <w:suppressAutoHyphens/>
              <w:bidi w:val="0"/>
              <w:snapToGrid w:val="0"/>
              <w:spacing w:line="30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补偿标准</w:t>
            </w:r>
          </w:p>
        </w:tc>
        <w:tc>
          <w:tcPr>
            <w:tcW w:w="3174" w:type="dxa"/>
            <w:noWrap/>
            <w:vAlign w:val="center"/>
          </w:tcPr>
          <w:p w14:paraId="533076F8">
            <w:pPr>
              <w:suppressAutoHyphens/>
              <w:bidi w:val="0"/>
              <w:snapToGrid w:val="0"/>
              <w:spacing w:line="30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备注</w:t>
            </w:r>
          </w:p>
        </w:tc>
      </w:tr>
      <w:tr w14:paraId="4E07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5DB8FDF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w:t>
            </w:r>
          </w:p>
          <w:p w14:paraId="3B991D3D">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5FB8D45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棚</w:t>
            </w:r>
          </w:p>
        </w:tc>
        <w:tc>
          <w:tcPr>
            <w:tcW w:w="3394" w:type="dxa"/>
            <w:gridSpan w:val="3"/>
            <w:noWrap/>
            <w:vAlign w:val="center"/>
          </w:tcPr>
          <w:p w14:paraId="0AD4CC3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木架玻璃吊顶</w:t>
            </w:r>
          </w:p>
        </w:tc>
        <w:tc>
          <w:tcPr>
            <w:tcW w:w="1945" w:type="dxa"/>
            <w:noWrap/>
            <w:vAlign w:val="center"/>
          </w:tcPr>
          <w:p w14:paraId="5643C5D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w:t>
            </w:r>
          </w:p>
        </w:tc>
        <w:tc>
          <w:tcPr>
            <w:tcW w:w="3174" w:type="dxa"/>
            <w:noWrap/>
            <w:vAlign w:val="center"/>
          </w:tcPr>
          <w:p w14:paraId="0F60704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71D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6F91267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244C682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水曲柳板吊顶</w:t>
            </w:r>
          </w:p>
        </w:tc>
        <w:tc>
          <w:tcPr>
            <w:tcW w:w="1945" w:type="dxa"/>
            <w:noWrap/>
            <w:vAlign w:val="center"/>
          </w:tcPr>
          <w:p w14:paraId="61B049D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w:t>
            </w:r>
          </w:p>
        </w:tc>
        <w:tc>
          <w:tcPr>
            <w:tcW w:w="3174" w:type="dxa"/>
            <w:noWrap/>
            <w:vAlign w:val="center"/>
          </w:tcPr>
          <w:p w14:paraId="1F05813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含龙骨、油漆</w:t>
            </w:r>
          </w:p>
        </w:tc>
      </w:tr>
      <w:tr w14:paraId="7FF2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4744D6B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497198D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石膏、三合板吊顶</w:t>
            </w:r>
          </w:p>
        </w:tc>
        <w:tc>
          <w:tcPr>
            <w:tcW w:w="1945" w:type="dxa"/>
            <w:noWrap/>
            <w:vAlign w:val="center"/>
          </w:tcPr>
          <w:p w14:paraId="184B4D6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60元/㎡</w:t>
            </w:r>
          </w:p>
        </w:tc>
        <w:tc>
          <w:tcPr>
            <w:tcW w:w="3174" w:type="dxa"/>
            <w:noWrap/>
            <w:vAlign w:val="center"/>
          </w:tcPr>
          <w:p w14:paraId="51DCB11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含龙骨、油漆</w:t>
            </w:r>
          </w:p>
        </w:tc>
      </w:tr>
      <w:tr w14:paraId="659C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B8E04F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6A00738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PVC、TK板吊顶</w:t>
            </w:r>
          </w:p>
        </w:tc>
        <w:tc>
          <w:tcPr>
            <w:tcW w:w="1945" w:type="dxa"/>
            <w:noWrap/>
            <w:vAlign w:val="center"/>
          </w:tcPr>
          <w:p w14:paraId="35FEFC8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60元/㎡</w:t>
            </w:r>
          </w:p>
        </w:tc>
        <w:tc>
          <w:tcPr>
            <w:tcW w:w="3174" w:type="dxa"/>
            <w:noWrap/>
            <w:vAlign w:val="center"/>
          </w:tcPr>
          <w:p w14:paraId="1929D4B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含龙骨、压条</w:t>
            </w:r>
          </w:p>
        </w:tc>
      </w:tr>
      <w:tr w14:paraId="099A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05BD364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4C75D30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纤维板吊顶</w:t>
            </w:r>
          </w:p>
        </w:tc>
        <w:tc>
          <w:tcPr>
            <w:tcW w:w="1945" w:type="dxa"/>
            <w:noWrap/>
            <w:vAlign w:val="center"/>
          </w:tcPr>
          <w:p w14:paraId="306C2E8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40元/㎡</w:t>
            </w:r>
          </w:p>
        </w:tc>
        <w:tc>
          <w:tcPr>
            <w:tcW w:w="3174" w:type="dxa"/>
            <w:noWrap/>
            <w:vAlign w:val="center"/>
          </w:tcPr>
          <w:p w14:paraId="5CF42E3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含龙骨、油漆</w:t>
            </w:r>
          </w:p>
        </w:tc>
      </w:tr>
      <w:tr w14:paraId="7A86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32B9865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1C841B7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石膏线、木角线</w:t>
            </w:r>
          </w:p>
        </w:tc>
        <w:tc>
          <w:tcPr>
            <w:tcW w:w="1945" w:type="dxa"/>
            <w:noWrap/>
            <w:vAlign w:val="center"/>
          </w:tcPr>
          <w:p w14:paraId="5C7658A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20元/㎡</w:t>
            </w:r>
          </w:p>
        </w:tc>
        <w:tc>
          <w:tcPr>
            <w:tcW w:w="3174" w:type="dxa"/>
            <w:noWrap/>
            <w:vAlign w:val="center"/>
          </w:tcPr>
          <w:p w14:paraId="114AAD52">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A4D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47B8E45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墙</w:t>
            </w:r>
          </w:p>
          <w:p w14:paraId="40C3D73D">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51D3CF5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面</w:t>
            </w:r>
          </w:p>
        </w:tc>
        <w:tc>
          <w:tcPr>
            <w:tcW w:w="3394" w:type="dxa"/>
            <w:gridSpan w:val="3"/>
            <w:noWrap/>
            <w:vAlign w:val="center"/>
          </w:tcPr>
          <w:p w14:paraId="54F78C8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墙裙</w:t>
            </w:r>
          </w:p>
        </w:tc>
        <w:tc>
          <w:tcPr>
            <w:tcW w:w="1945" w:type="dxa"/>
            <w:noWrap/>
            <w:vAlign w:val="center"/>
          </w:tcPr>
          <w:p w14:paraId="3C7CE9E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45元/㎡</w:t>
            </w:r>
          </w:p>
        </w:tc>
        <w:tc>
          <w:tcPr>
            <w:tcW w:w="3174" w:type="dxa"/>
            <w:noWrap/>
            <w:vAlign w:val="center"/>
          </w:tcPr>
          <w:p w14:paraId="33040451">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48C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08E4751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554E95D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瓷砖</w:t>
            </w:r>
          </w:p>
        </w:tc>
        <w:tc>
          <w:tcPr>
            <w:tcW w:w="1945" w:type="dxa"/>
            <w:noWrap/>
            <w:vAlign w:val="center"/>
          </w:tcPr>
          <w:p w14:paraId="52E2155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120—150元/㎡</w:t>
            </w:r>
          </w:p>
        </w:tc>
        <w:tc>
          <w:tcPr>
            <w:tcW w:w="3174" w:type="dxa"/>
            <w:noWrap/>
            <w:vAlign w:val="center"/>
          </w:tcPr>
          <w:p w14:paraId="51DE4DE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5FFC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30F8A27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167CF98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墙布</w:t>
            </w:r>
          </w:p>
        </w:tc>
        <w:tc>
          <w:tcPr>
            <w:tcW w:w="1945" w:type="dxa"/>
            <w:noWrap/>
            <w:vAlign w:val="center"/>
          </w:tcPr>
          <w:p w14:paraId="5B8BA75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60元/㎡</w:t>
            </w:r>
          </w:p>
        </w:tc>
        <w:tc>
          <w:tcPr>
            <w:tcW w:w="3174" w:type="dxa"/>
            <w:noWrap/>
            <w:vAlign w:val="center"/>
          </w:tcPr>
          <w:p w14:paraId="75499F2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2827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B761BE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045A186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墙纸</w:t>
            </w:r>
          </w:p>
        </w:tc>
        <w:tc>
          <w:tcPr>
            <w:tcW w:w="1945" w:type="dxa"/>
            <w:noWrap/>
            <w:vAlign w:val="center"/>
          </w:tcPr>
          <w:p w14:paraId="59C0460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60元/㎡</w:t>
            </w:r>
          </w:p>
        </w:tc>
        <w:tc>
          <w:tcPr>
            <w:tcW w:w="3174" w:type="dxa"/>
            <w:noWrap/>
            <w:vAlign w:val="center"/>
          </w:tcPr>
          <w:p w14:paraId="73358F6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E04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FADB21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3A96335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乳胶漆</w:t>
            </w:r>
          </w:p>
        </w:tc>
        <w:tc>
          <w:tcPr>
            <w:tcW w:w="1945" w:type="dxa"/>
            <w:noWrap/>
            <w:vAlign w:val="center"/>
          </w:tcPr>
          <w:p w14:paraId="5733DC1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50元/㎡</w:t>
            </w:r>
          </w:p>
        </w:tc>
        <w:tc>
          <w:tcPr>
            <w:tcW w:w="3174" w:type="dxa"/>
            <w:noWrap/>
            <w:vAlign w:val="center"/>
          </w:tcPr>
          <w:p w14:paraId="2C5BAB7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3C6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0EC70B0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7A90769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刮瓷、喷塑、喷漆</w:t>
            </w:r>
          </w:p>
        </w:tc>
        <w:tc>
          <w:tcPr>
            <w:tcW w:w="1945" w:type="dxa"/>
            <w:noWrap/>
            <w:vAlign w:val="center"/>
          </w:tcPr>
          <w:p w14:paraId="21442C4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50元/㎡</w:t>
            </w:r>
          </w:p>
        </w:tc>
        <w:tc>
          <w:tcPr>
            <w:tcW w:w="3174" w:type="dxa"/>
            <w:noWrap/>
            <w:vAlign w:val="center"/>
          </w:tcPr>
          <w:p w14:paraId="33B76DC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861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4624B56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门</w:t>
            </w:r>
          </w:p>
          <w:p w14:paraId="6774D2ED">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693FE2C8">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31B740AD">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630C4971">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44B8621A">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3D7B7D08">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0BAEEFB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窗</w:t>
            </w:r>
          </w:p>
        </w:tc>
        <w:tc>
          <w:tcPr>
            <w:tcW w:w="1290" w:type="dxa"/>
            <w:gridSpan w:val="2"/>
            <w:vMerge w:val="restart"/>
            <w:noWrap/>
            <w:vAlign w:val="center"/>
          </w:tcPr>
          <w:p w14:paraId="40D6695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门套</w:t>
            </w:r>
          </w:p>
        </w:tc>
        <w:tc>
          <w:tcPr>
            <w:tcW w:w="2104" w:type="dxa"/>
            <w:noWrap/>
            <w:vAlign w:val="center"/>
          </w:tcPr>
          <w:p w14:paraId="222465C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大</w:t>
            </w:r>
          </w:p>
        </w:tc>
        <w:tc>
          <w:tcPr>
            <w:tcW w:w="1945" w:type="dxa"/>
            <w:noWrap/>
            <w:vAlign w:val="center"/>
          </w:tcPr>
          <w:p w14:paraId="181BAF4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250元/㎡</w:t>
            </w:r>
          </w:p>
        </w:tc>
        <w:tc>
          <w:tcPr>
            <w:tcW w:w="3174" w:type="dxa"/>
            <w:noWrap/>
            <w:vAlign w:val="center"/>
          </w:tcPr>
          <w:p w14:paraId="123BDBE1">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宽度1米（含）以上单扇门</w:t>
            </w:r>
          </w:p>
        </w:tc>
      </w:tr>
      <w:tr w14:paraId="6237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5AE6B11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290" w:type="dxa"/>
            <w:gridSpan w:val="2"/>
            <w:vMerge w:val="continue"/>
            <w:noWrap/>
            <w:vAlign w:val="center"/>
          </w:tcPr>
          <w:p w14:paraId="6DC4686B">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2104" w:type="dxa"/>
            <w:noWrap/>
            <w:vAlign w:val="center"/>
          </w:tcPr>
          <w:p w14:paraId="4837561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小</w:t>
            </w:r>
          </w:p>
        </w:tc>
        <w:tc>
          <w:tcPr>
            <w:tcW w:w="1945" w:type="dxa"/>
            <w:noWrap/>
            <w:vAlign w:val="center"/>
          </w:tcPr>
          <w:p w14:paraId="63E5C1B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220元/㎡</w:t>
            </w:r>
          </w:p>
        </w:tc>
        <w:tc>
          <w:tcPr>
            <w:tcW w:w="3174" w:type="dxa"/>
            <w:noWrap/>
            <w:vAlign w:val="center"/>
          </w:tcPr>
          <w:p w14:paraId="495CA00E">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宽度1米以下单扇门</w:t>
            </w:r>
          </w:p>
        </w:tc>
      </w:tr>
      <w:tr w14:paraId="1AD5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4518B4B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290" w:type="dxa"/>
            <w:gridSpan w:val="2"/>
            <w:vMerge w:val="restart"/>
            <w:noWrap/>
            <w:vAlign w:val="center"/>
          </w:tcPr>
          <w:p w14:paraId="0388EAE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窗套</w:t>
            </w:r>
          </w:p>
        </w:tc>
        <w:tc>
          <w:tcPr>
            <w:tcW w:w="2104" w:type="dxa"/>
            <w:noWrap/>
            <w:vAlign w:val="center"/>
          </w:tcPr>
          <w:p w14:paraId="1883D70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大</w:t>
            </w:r>
          </w:p>
        </w:tc>
        <w:tc>
          <w:tcPr>
            <w:tcW w:w="1945" w:type="dxa"/>
            <w:noWrap/>
            <w:vAlign w:val="center"/>
          </w:tcPr>
          <w:p w14:paraId="7FF945C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230元/㎡</w:t>
            </w:r>
          </w:p>
        </w:tc>
        <w:tc>
          <w:tcPr>
            <w:tcW w:w="3174" w:type="dxa"/>
            <w:noWrap/>
            <w:vAlign w:val="center"/>
          </w:tcPr>
          <w:p w14:paraId="71FAA224">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高度1.8米以上双开窗</w:t>
            </w:r>
          </w:p>
        </w:tc>
      </w:tr>
      <w:tr w14:paraId="01D1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699A0B3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290" w:type="dxa"/>
            <w:gridSpan w:val="2"/>
            <w:vMerge w:val="continue"/>
            <w:noWrap/>
            <w:vAlign w:val="center"/>
          </w:tcPr>
          <w:p w14:paraId="6B7EB62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2104" w:type="dxa"/>
            <w:noWrap/>
            <w:vAlign w:val="center"/>
          </w:tcPr>
          <w:p w14:paraId="52EFD68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w:t>
            </w:r>
          </w:p>
        </w:tc>
        <w:tc>
          <w:tcPr>
            <w:tcW w:w="1945" w:type="dxa"/>
            <w:noWrap/>
            <w:vAlign w:val="center"/>
          </w:tcPr>
          <w:p w14:paraId="316FACB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200元/㎡</w:t>
            </w:r>
          </w:p>
        </w:tc>
        <w:tc>
          <w:tcPr>
            <w:tcW w:w="3174" w:type="dxa"/>
            <w:noWrap/>
            <w:vAlign w:val="center"/>
          </w:tcPr>
          <w:p w14:paraId="4F6D9A9E">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高度1</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1.8米之间</w:t>
            </w:r>
          </w:p>
        </w:tc>
      </w:tr>
      <w:tr w14:paraId="5551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583D0A1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290" w:type="dxa"/>
            <w:gridSpan w:val="2"/>
            <w:vMerge w:val="continue"/>
            <w:noWrap/>
            <w:vAlign w:val="center"/>
          </w:tcPr>
          <w:p w14:paraId="21265945">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2104" w:type="dxa"/>
            <w:noWrap/>
            <w:vAlign w:val="center"/>
          </w:tcPr>
          <w:p w14:paraId="4922A48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小</w:t>
            </w:r>
          </w:p>
        </w:tc>
        <w:tc>
          <w:tcPr>
            <w:tcW w:w="1945" w:type="dxa"/>
            <w:noWrap/>
            <w:vAlign w:val="center"/>
          </w:tcPr>
          <w:p w14:paraId="3FB465F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170元/㎡</w:t>
            </w:r>
          </w:p>
        </w:tc>
        <w:tc>
          <w:tcPr>
            <w:tcW w:w="3174" w:type="dxa"/>
            <w:noWrap/>
            <w:vAlign w:val="center"/>
          </w:tcPr>
          <w:p w14:paraId="4D9BC664">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高度1米（不含）以下</w:t>
            </w:r>
          </w:p>
        </w:tc>
      </w:tr>
      <w:tr w14:paraId="687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20D6E851">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2272502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窗帘盒</w:t>
            </w:r>
          </w:p>
        </w:tc>
        <w:tc>
          <w:tcPr>
            <w:tcW w:w="1945" w:type="dxa"/>
            <w:noWrap/>
            <w:vAlign w:val="center"/>
          </w:tcPr>
          <w:p w14:paraId="007CD7A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18元/m</w:t>
            </w:r>
          </w:p>
        </w:tc>
        <w:tc>
          <w:tcPr>
            <w:tcW w:w="3174" w:type="dxa"/>
            <w:noWrap/>
            <w:vAlign w:val="center"/>
          </w:tcPr>
          <w:p w14:paraId="09A7DB5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2AC9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20DDDA0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63A3126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品牌防盗门</w:t>
            </w:r>
          </w:p>
        </w:tc>
        <w:tc>
          <w:tcPr>
            <w:tcW w:w="1945" w:type="dxa"/>
            <w:noWrap/>
            <w:vAlign w:val="center"/>
          </w:tcPr>
          <w:p w14:paraId="785FB43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550元/㎡</w:t>
            </w:r>
          </w:p>
        </w:tc>
        <w:tc>
          <w:tcPr>
            <w:tcW w:w="3174" w:type="dxa"/>
            <w:noWrap/>
            <w:vAlign w:val="center"/>
          </w:tcPr>
          <w:p w14:paraId="69B0814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25A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411F45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33CEE9E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普通铁制防盗门</w:t>
            </w:r>
          </w:p>
        </w:tc>
        <w:tc>
          <w:tcPr>
            <w:tcW w:w="1945" w:type="dxa"/>
            <w:noWrap/>
            <w:vAlign w:val="center"/>
          </w:tcPr>
          <w:p w14:paraId="3DBD8EA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300元/㎡</w:t>
            </w:r>
          </w:p>
        </w:tc>
        <w:tc>
          <w:tcPr>
            <w:tcW w:w="3174" w:type="dxa"/>
            <w:noWrap/>
            <w:vAlign w:val="center"/>
          </w:tcPr>
          <w:p w14:paraId="6FB334D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7C87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2F4DFC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6721E63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卷闸门</w:t>
            </w:r>
          </w:p>
        </w:tc>
        <w:tc>
          <w:tcPr>
            <w:tcW w:w="1945" w:type="dxa"/>
            <w:noWrap/>
            <w:vAlign w:val="center"/>
          </w:tcPr>
          <w:p w14:paraId="6EA1327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w:t>
            </w:r>
          </w:p>
        </w:tc>
        <w:tc>
          <w:tcPr>
            <w:tcW w:w="3174" w:type="dxa"/>
            <w:noWrap/>
            <w:vAlign w:val="center"/>
          </w:tcPr>
          <w:p w14:paraId="69BA5F6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DE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C15472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7F9C439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铁门</w:t>
            </w:r>
          </w:p>
        </w:tc>
        <w:tc>
          <w:tcPr>
            <w:tcW w:w="1945" w:type="dxa"/>
            <w:noWrap/>
            <w:vAlign w:val="center"/>
          </w:tcPr>
          <w:p w14:paraId="6D19CDB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w:t>
            </w:r>
          </w:p>
        </w:tc>
        <w:tc>
          <w:tcPr>
            <w:tcW w:w="3174" w:type="dxa"/>
            <w:noWrap/>
            <w:vAlign w:val="center"/>
          </w:tcPr>
          <w:p w14:paraId="32BEFD4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F02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4BBC438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0487704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纱门</w:t>
            </w:r>
          </w:p>
        </w:tc>
        <w:tc>
          <w:tcPr>
            <w:tcW w:w="1945" w:type="dxa"/>
            <w:noWrap/>
            <w:vAlign w:val="center"/>
          </w:tcPr>
          <w:p w14:paraId="208A0DD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50元/㎡</w:t>
            </w:r>
          </w:p>
        </w:tc>
        <w:tc>
          <w:tcPr>
            <w:tcW w:w="3174" w:type="dxa"/>
            <w:noWrap/>
            <w:vAlign w:val="center"/>
          </w:tcPr>
          <w:p w14:paraId="719A016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020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6B99A18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3240606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不锈钢防盗窗</w:t>
            </w:r>
          </w:p>
        </w:tc>
        <w:tc>
          <w:tcPr>
            <w:tcW w:w="1945" w:type="dxa"/>
            <w:noWrap/>
            <w:vAlign w:val="center"/>
          </w:tcPr>
          <w:p w14:paraId="76B3173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150元/㎡</w:t>
            </w:r>
          </w:p>
        </w:tc>
        <w:tc>
          <w:tcPr>
            <w:tcW w:w="3174" w:type="dxa"/>
            <w:noWrap/>
            <w:vAlign w:val="center"/>
          </w:tcPr>
          <w:p w14:paraId="734C689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72E3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49E7966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0422477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铝合金防盗窗</w:t>
            </w:r>
          </w:p>
        </w:tc>
        <w:tc>
          <w:tcPr>
            <w:tcW w:w="1945" w:type="dxa"/>
            <w:noWrap/>
            <w:vAlign w:val="center"/>
          </w:tcPr>
          <w:p w14:paraId="1C40890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150元/㎡</w:t>
            </w:r>
          </w:p>
        </w:tc>
        <w:tc>
          <w:tcPr>
            <w:tcW w:w="3174" w:type="dxa"/>
            <w:noWrap/>
            <w:vAlign w:val="center"/>
          </w:tcPr>
          <w:p w14:paraId="1437A74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023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5C41A72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5B9EC6E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铁防盗网</w:t>
            </w:r>
          </w:p>
        </w:tc>
        <w:tc>
          <w:tcPr>
            <w:tcW w:w="1945" w:type="dxa"/>
            <w:noWrap/>
            <w:vAlign w:val="center"/>
          </w:tcPr>
          <w:p w14:paraId="3E21B0A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50元/㎡</w:t>
            </w:r>
          </w:p>
        </w:tc>
        <w:tc>
          <w:tcPr>
            <w:tcW w:w="3174" w:type="dxa"/>
            <w:noWrap/>
            <w:vAlign w:val="center"/>
          </w:tcPr>
          <w:p w14:paraId="53D03E1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21A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716D48E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隔</w:t>
            </w:r>
          </w:p>
          <w:p w14:paraId="6106D846">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3EAA23C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断</w:t>
            </w:r>
          </w:p>
        </w:tc>
        <w:tc>
          <w:tcPr>
            <w:tcW w:w="3394" w:type="dxa"/>
            <w:gridSpan w:val="3"/>
            <w:noWrap/>
            <w:vAlign w:val="center"/>
          </w:tcPr>
          <w:p w14:paraId="0B5B55B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博古架柜</w:t>
            </w:r>
          </w:p>
        </w:tc>
        <w:tc>
          <w:tcPr>
            <w:tcW w:w="1945" w:type="dxa"/>
            <w:noWrap/>
            <w:vAlign w:val="center"/>
          </w:tcPr>
          <w:p w14:paraId="6CB6ABF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200-300元/㎡</w:t>
            </w:r>
          </w:p>
        </w:tc>
        <w:tc>
          <w:tcPr>
            <w:tcW w:w="3174" w:type="dxa"/>
            <w:noWrap/>
            <w:vAlign w:val="center"/>
          </w:tcPr>
          <w:p w14:paraId="5AF3816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2A2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06B496A5">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182EAC2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塑钢</w:t>
            </w:r>
          </w:p>
        </w:tc>
        <w:tc>
          <w:tcPr>
            <w:tcW w:w="1945" w:type="dxa"/>
            <w:noWrap/>
            <w:vAlign w:val="center"/>
          </w:tcPr>
          <w:p w14:paraId="2253F9F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150元/㎡</w:t>
            </w:r>
          </w:p>
        </w:tc>
        <w:tc>
          <w:tcPr>
            <w:tcW w:w="3174" w:type="dxa"/>
            <w:noWrap/>
            <w:vAlign w:val="center"/>
          </w:tcPr>
          <w:p w14:paraId="1B3A222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732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65A085B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7E15EDA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木柜隔断</w:t>
            </w:r>
          </w:p>
        </w:tc>
        <w:tc>
          <w:tcPr>
            <w:tcW w:w="1945" w:type="dxa"/>
            <w:noWrap/>
            <w:vAlign w:val="center"/>
          </w:tcPr>
          <w:p w14:paraId="3879E24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130元/㎡</w:t>
            </w:r>
          </w:p>
        </w:tc>
        <w:tc>
          <w:tcPr>
            <w:tcW w:w="3174" w:type="dxa"/>
            <w:noWrap/>
            <w:vAlign w:val="center"/>
          </w:tcPr>
          <w:p w14:paraId="4FA2877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76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FE45F4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08F9FAD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铝合金</w:t>
            </w:r>
          </w:p>
        </w:tc>
        <w:tc>
          <w:tcPr>
            <w:tcW w:w="1945" w:type="dxa"/>
            <w:noWrap/>
            <w:vAlign w:val="center"/>
          </w:tcPr>
          <w:p w14:paraId="3100AD4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120元/㎡</w:t>
            </w:r>
          </w:p>
        </w:tc>
        <w:tc>
          <w:tcPr>
            <w:tcW w:w="3174" w:type="dxa"/>
            <w:noWrap/>
            <w:vAlign w:val="center"/>
          </w:tcPr>
          <w:p w14:paraId="25772DD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C26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7FB2BFD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楼梯</w:t>
            </w:r>
          </w:p>
          <w:p w14:paraId="2A63E60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扶手</w:t>
            </w:r>
          </w:p>
        </w:tc>
        <w:tc>
          <w:tcPr>
            <w:tcW w:w="3394" w:type="dxa"/>
            <w:gridSpan w:val="3"/>
            <w:noWrap/>
            <w:vAlign w:val="center"/>
          </w:tcPr>
          <w:p w14:paraId="2B9F6F5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木制</w:t>
            </w:r>
          </w:p>
        </w:tc>
        <w:tc>
          <w:tcPr>
            <w:tcW w:w="1945" w:type="dxa"/>
            <w:noWrap/>
            <w:vAlign w:val="center"/>
          </w:tcPr>
          <w:p w14:paraId="5AA283A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200/m</w:t>
            </w:r>
          </w:p>
        </w:tc>
        <w:tc>
          <w:tcPr>
            <w:tcW w:w="3174" w:type="dxa"/>
            <w:noWrap/>
            <w:vAlign w:val="center"/>
          </w:tcPr>
          <w:p w14:paraId="764EE79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7B4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29E7574B">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31AA459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不锈钢</w:t>
            </w:r>
          </w:p>
        </w:tc>
        <w:tc>
          <w:tcPr>
            <w:tcW w:w="1945" w:type="dxa"/>
            <w:noWrap/>
            <w:vAlign w:val="center"/>
          </w:tcPr>
          <w:p w14:paraId="5FFBDEE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150/m</w:t>
            </w:r>
          </w:p>
        </w:tc>
        <w:tc>
          <w:tcPr>
            <w:tcW w:w="3174" w:type="dxa"/>
            <w:noWrap/>
            <w:vAlign w:val="center"/>
          </w:tcPr>
          <w:p w14:paraId="6A56073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15C4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08F26FA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固定</w:t>
            </w:r>
          </w:p>
          <w:p w14:paraId="470D18F8">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4D9AAB5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家具</w:t>
            </w:r>
          </w:p>
        </w:tc>
        <w:tc>
          <w:tcPr>
            <w:tcW w:w="3394" w:type="dxa"/>
            <w:gridSpan w:val="3"/>
            <w:noWrap/>
            <w:vAlign w:val="center"/>
          </w:tcPr>
          <w:p w14:paraId="732D8A8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落地衣橱、书橱</w:t>
            </w:r>
          </w:p>
        </w:tc>
        <w:tc>
          <w:tcPr>
            <w:tcW w:w="1945" w:type="dxa"/>
            <w:noWrap/>
            <w:vAlign w:val="center"/>
          </w:tcPr>
          <w:p w14:paraId="4D77A63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200-300元/㎡</w:t>
            </w:r>
          </w:p>
        </w:tc>
        <w:tc>
          <w:tcPr>
            <w:tcW w:w="3174" w:type="dxa"/>
            <w:noWrap/>
            <w:vAlign w:val="center"/>
          </w:tcPr>
          <w:p w14:paraId="7396D89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正立面面积</w:t>
            </w:r>
          </w:p>
        </w:tc>
      </w:tr>
      <w:tr w14:paraId="7EC6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3A9B172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0BE93B1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吊柜</w:t>
            </w:r>
          </w:p>
        </w:tc>
        <w:tc>
          <w:tcPr>
            <w:tcW w:w="1945" w:type="dxa"/>
            <w:noWrap/>
            <w:vAlign w:val="center"/>
          </w:tcPr>
          <w:p w14:paraId="0AAC0DE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90-130元/㎡</w:t>
            </w:r>
          </w:p>
        </w:tc>
        <w:tc>
          <w:tcPr>
            <w:tcW w:w="3174" w:type="dxa"/>
            <w:noWrap/>
            <w:vAlign w:val="center"/>
          </w:tcPr>
          <w:p w14:paraId="38AECF5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正立面面积</w:t>
            </w:r>
          </w:p>
        </w:tc>
      </w:tr>
      <w:tr w14:paraId="7440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1095252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672" w:type="dxa"/>
            <w:vMerge w:val="restart"/>
            <w:noWrap/>
            <w:vAlign w:val="center"/>
          </w:tcPr>
          <w:p w14:paraId="7C78FCB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壁</w:t>
            </w:r>
          </w:p>
          <w:p w14:paraId="527BD79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橱</w:t>
            </w:r>
          </w:p>
        </w:tc>
        <w:tc>
          <w:tcPr>
            <w:tcW w:w="2722" w:type="dxa"/>
            <w:gridSpan w:val="2"/>
            <w:noWrap/>
            <w:vAlign w:val="center"/>
          </w:tcPr>
          <w:p w14:paraId="3C7D52E6">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深度1米（含）以上</w:t>
            </w:r>
          </w:p>
        </w:tc>
        <w:tc>
          <w:tcPr>
            <w:tcW w:w="1945" w:type="dxa"/>
            <w:noWrap/>
            <w:vAlign w:val="center"/>
          </w:tcPr>
          <w:p w14:paraId="0909E36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200元/㎡</w:t>
            </w:r>
          </w:p>
        </w:tc>
        <w:tc>
          <w:tcPr>
            <w:tcW w:w="3174" w:type="dxa"/>
            <w:noWrap/>
            <w:vAlign w:val="center"/>
          </w:tcPr>
          <w:p w14:paraId="1D63886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正立面面积</w:t>
            </w:r>
          </w:p>
        </w:tc>
      </w:tr>
      <w:tr w14:paraId="0D1B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0DA9081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672" w:type="dxa"/>
            <w:vMerge w:val="continue"/>
            <w:noWrap/>
            <w:vAlign w:val="center"/>
          </w:tcPr>
          <w:p w14:paraId="39DE4B9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2722" w:type="dxa"/>
            <w:gridSpan w:val="2"/>
            <w:noWrap/>
            <w:vAlign w:val="center"/>
          </w:tcPr>
          <w:p w14:paraId="30D585C0">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深度0.5</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1米</w:t>
            </w:r>
          </w:p>
        </w:tc>
        <w:tc>
          <w:tcPr>
            <w:tcW w:w="1945" w:type="dxa"/>
            <w:noWrap/>
            <w:vAlign w:val="center"/>
          </w:tcPr>
          <w:p w14:paraId="3B319B7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120元/㎡</w:t>
            </w:r>
          </w:p>
        </w:tc>
        <w:tc>
          <w:tcPr>
            <w:tcW w:w="3174" w:type="dxa"/>
            <w:noWrap/>
            <w:vAlign w:val="center"/>
          </w:tcPr>
          <w:p w14:paraId="0144CE3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正立面面积</w:t>
            </w:r>
          </w:p>
        </w:tc>
      </w:tr>
      <w:tr w14:paraId="3FF5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continue"/>
            <w:noWrap/>
            <w:vAlign w:val="center"/>
          </w:tcPr>
          <w:p w14:paraId="0DEAD69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672" w:type="dxa"/>
            <w:vMerge w:val="continue"/>
            <w:noWrap/>
            <w:vAlign w:val="center"/>
          </w:tcPr>
          <w:p w14:paraId="28013D75">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2722" w:type="dxa"/>
            <w:gridSpan w:val="2"/>
            <w:noWrap/>
            <w:vAlign w:val="center"/>
          </w:tcPr>
          <w:p w14:paraId="2AB45F64">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深度0.5米（不含）以下</w:t>
            </w:r>
          </w:p>
        </w:tc>
        <w:tc>
          <w:tcPr>
            <w:tcW w:w="1945" w:type="dxa"/>
            <w:noWrap/>
            <w:vAlign w:val="center"/>
          </w:tcPr>
          <w:p w14:paraId="2F69310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80元/㎡</w:t>
            </w:r>
          </w:p>
        </w:tc>
        <w:tc>
          <w:tcPr>
            <w:tcW w:w="3174" w:type="dxa"/>
            <w:noWrap/>
            <w:vAlign w:val="center"/>
          </w:tcPr>
          <w:p w14:paraId="362B44A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正立面面积</w:t>
            </w:r>
          </w:p>
        </w:tc>
      </w:tr>
      <w:tr w14:paraId="76B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9" w:type="dxa"/>
            <w:vMerge w:val="restart"/>
            <w:noWrap/>
            <w:vAlign w:val="center"/>
          </w:tcPr>
          <w:p w14:paraId="7A8DC8D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室</w:t>
            </w:r>
          </w:p>
          <w:p w14:paraId="46D8F4E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内</w:t>
            </w:r>
          </w:p>
          <w:p w14:paraId="4F5284A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地</w:t>
            </w:r>
          </w:p>
          <w:p w14:paraId="1DCD5D3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面</w:t>
            </w:r>
          </w:p>
        </w:tc>
        <w:tc>
          <w:tcPr>
            <w:tcW w:w="3394" w:type="dxa"/>
            <w:gridSpan w:val="3"/>
            <w:noWrap/>
            <w:vAlign w:val="center"/>
          </w:tcPr>
          <w:p w14:paraId="603E1ED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花岗岩</w:t>
            </w:r>
          </w:p>
        </w:tc>
        <w:tc>
          <w:tcPr>
            <w:tcW w:w="1945" w:type="dxa"/>
            <w:noWrap/>
            <w:vAlign w:val="center"/>
          </w:tcPr>
          <w:p w14:paraId="63734F3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80—150元/㎡</w:t>
            </w:r>
          </w:p>
        </w:tc>
        <w:tc>
          <w:tcPr>
            <w:tcW w:w="3174" w:type="dxa"/>
            <w:noWrap/>
            <w:vAlign w:val="center"/>
          </w:tcPr>
          <w:p w14:paraId="1FF5014D">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按实铺面积，含硬基层</w:t>
            </w:r>
          </w:p>
        </w:tc>
      </w:tr>
      <w:tr w14:paraId="319F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69" w:type="dxa"/>
            <w:vMerge w:val="continue"/>
            <w:noWrap/>
            <w:vAlign w:val="center"/>
          </w:tcPr>
          <w:p w14:paraId="2FC7351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5CDBCA8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木地板</w:t>
            </w:r>
          </w:p>
        </w:tc>
        <w:tc>
          <w:tcPr>
            <w:tcW w:w="1945" w:type="dxa"/>
            <w:noWrap/>
            <w:vAlign w:val="center"/>
          </w:tcPr>
          <w:p w14:paraId="2B01A49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50-200元/㎡</w:t>
            </w:r>
          </w:p>
        </w:tc>
        <w:tc>
          <w:tcPr>
            <w:tcW w:w="3174" w:type="dxa"/>
            <w:noWrap/>
            <w:vAlign w:val="center"/>
          </w:tcPr>
          <w:p w14:paraId="77C6DADF">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按实铺面积，含木踢脚线、基层</w:t>
            </w:r>
          </w:p>
        </w:tc>
      </w:tr>
      <w:tr w14:paraId="3A7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9" w:type="dxa"/>
            <w:vMerge w:val="continue"/>
            <w:noWrap/>
            <w:vAlign w:val="center"/>
          </w:tcPr>
          <w:p w14:paraId="2AC6C9C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4F7A86C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大理石</w:t>
            </w:r>
          </w:p>
        </w:tc>
        <w:tc>
          <w:tcPr>
            <w:tcW w:w="1945" w:type="dxa"/>
            <w:noWrap/>
            <w:vAlign w:val="center"/>
          </w:tcPr>
          <w:p w14:paraId="68BA614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80—150元/㎡</w:t>
            </w:r>
          </w:p>
        </w:tc>
        <w:tc>
          <w:tcPr>
            <w:tcW w:w="3174" w:type="dxa"/>
            <w:noWrap/>
            <w:vAlign w:val="center"/>
          </w:tcPr>
          <w:p w14:paraId="0F7A83CD">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按实铺面积，含硬基层</w:t>
            </w:r>
          </w:p>
        </w:tc>
      </w:tr>
      <w:tr w14:paraId="1259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9" w:type="dxa"/>
            <w:vMerge w:val="continue"/>
            <w:noWrap/>
            <w:vAlign w:val="center"/>
          </w:tcPr>
          <w:p w14:paraId="581D0968">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54C46F6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地面砖</w:t>
            </w:r>
          </w:p>
        </w:tc>
        <w:tc>
          <w:tcPr>
            <w:tcW w:w="1945" w:type="dxa"/>
            <w:noWrap/>
            <w:vAlign w:val="center"/>
          </w:tcPr>
          <w:p w14:paraId="1B2E85C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40-80元/㎡</w:t>
            </w:r>
          </w:p>
        </w:tc>
        <w:tc>
          <w:tcPr>
            <w:tcW w:w="3174" w:type="dxa"/>
            <w:noWrap/>
            <w:vAlign w:val="center"/>
          </w:tcPr>
          <w:p w14:paraId="01E5A833">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规格50*50以下按实铺面积，含硬基层，厚度5-10㎡</w:t>
            </w:r>
          </w:p>
        </w:tc>
      </w:tr>
      <w:tr w14:paraId="441E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9" w:type="dxa"/>
            <w:vMerge w:val="continue"/>
            <w:noWrap/>
            <w:vAlign w:val="center"/>
          </w:tcPr>
          <w:p w14:paraId="017EB501">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394" w:type="dxa"/>
            <w:gridSpan w:val="3"/>
            <w:noWrap/>
            <w:vAlign w:val="center"/>
          </w:tcPr>
          <w:p w14:paraId="1CEA572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室外水泥地面</w:t>
            </w:r>
          </w:p>
        </w:tc>
        <w:tc>
          <w:tcPr>
            <w:tcW w:w="1945" w:type="dxa"/>
            <w:noWrap/>
            <w:vAlign w:val="center"/>
          </w:tcPr>
          <w:p w14:paraId="7C6744A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70元/㎡</w:t>
            </w:r>
          </w:p>
        </w:tc>
        <w:tc>
          <w:tcPr>
            <w:tcW w:w="3174" w:type="dxa"/>
            <w:noWrap/>
            <w:vAlign w:val="center"/>
          </w:tcPr>
          <w:p w14:paraId="3412082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按实际面积</w:t>
            </w:r>
          </w:p>
        </w:tc>
      </w:tr>
    </w:tbl>
    <w:p w14:paraId="6C60448F">
      <w:pPr>
        <w:suppressAutoHyphens/>
        <w:bidi w:val="0"/>
        <w:spacing w:line="400" w:lineRule="exact"/>
        <w:ind w:firstLine="640" w:firstLineChars="200"/>
        <w:rPr>
          <w:rFonts w:hint="default" w:ascii="Times New Roman" w:hAnsi="Times New Roman" w:eastAsia="楷体_GB2312" w:cs="Times New Roman"/>
          <w:color w:val="auto"/>
          <w:sz w:val="32"/>
          <w:szCs w:val="32"/>
        </w:rPr>
      </w:pPr>
    </w:p>
    <w:p w14:paraId="7CEA4F0A">
      <w:pPr>
        <w:suppressAutoHyphens/>
        <w:bidi w:val="0"/>
        <w:spacing w:line="400" w:lineRule="exact"/>
        <w:ind w:firstLine="640" w:firstLineChars="200"/>
        <w:rPr>
          <w:rFonts w:hint="default" w:ascii="Times New Roman" w:hAnsi="Times New Roman" w:eastAsia="方正楷体_GBK" w:cs="Times New Roman"/>
          <w:color w:val="auto"/>
          <w:sz w:val="32"/>
          <w:szCs w:val="32"/>
        </w:rPr>
      </w:pPr>
    </w:p>
    <w:p w14:paraId="1628B917">
      <w:pPr>
        <w:suppressAutoHyphens/>
        <w:bidi w:val="0"/>
        <w:spacing w:line="400" w:lineRule="exact"/>
        <w:ind w:firstLine="640" w:firstLineChars="200"/>
        <w:rPr>
          <w:rFonts w:hint="default" w:ascii="Times New Roman" w:hAnsi="Times New Roman" w:eastAsia="方正楷体_GBK" w:cs="Times New Roman"/>
          <w:color w:val="auto"/>
          <w:sz w:val="32"/>
          <w:szCs w:val="32"/>
        </w:rPr>
      </w:pPr>
    </w:p>
    <w:p w14:paraId="07C47F86">
      <w:pPr>
        <w:suppressAutoHyphens/>
        <w:bidi w:val="0"/>
        <w:spacing w:line="400" w:lineRule="exact"/>
        <w:ind w:firstLine="640" w:firstLineChars="200"/>
        <w:rPr>
          <w:rFonts w:hint="default" w:ascii="Times New Roman" w:hAnsi="Times New Roman" w:eastAsia="方正楷体_GBK" w:cs="Times New Roman"/>
          <w:color w:val="auto"/>
          <w:sz w:val="32"/>
          <w:szCs w:val="32"/>
        </w:rPr>
      </w:pPr>
    </w:p>
    <w:p w14:paraId="4B5CE6CF">
      <w:pPr>
        <w:suppressAutoHyphens/>
        <w:bidi w:val="0"/>
        <w:spacing w:line="400" w:lineRule="exact"/>
        <w:ind w:firstLine="640" w:firstLineChars="200"/>
        <w:rPr>
          <w:rFonts w:hint="default" w:ascii="Times New Roman" w:hAnsi="Times New Roman" w:eastAsia="方正楷体_GBK" w:cs="Times New Roman"/>
          <w:color w:val="auto"/>
          <w:sz w:val="32"/>
          <w:szCs w:val="32"/>
        </w:rPr>
      </w:pPr>
    </w:p>
    <w:p w14:paraId="45466742">
      <w:pPr>
        <w:suppressAutoHyphens/>
        <w:bidi w:val="0"/>
        <w:spacing w:line="400" w:lineRule="exact"/>
        <w:ind w:firstLine="640" w:firstLineChars="200"/>
        <w:rPr>
          <w:rFonts w:hint="default" w:ascii="Times New Roman" w:hAnsi="Times New Roman" w:eastAsia="方正楷体_GBK" w:cs="Times New Roman"/>
          <w:color w:val="auto"/>
          <w:sz w:val="32"/>
          <w:szCs w:val="32"/>
        </w:rPr>
      </w:pPr>
    </w:p>
    <w:p w14:paraId="487F4743">
      <w:pPr>
        <w:suppressAutoHyphens/>
        <w:bidi w:val="0"/>
        <w:spacing w:line="400" w:lineRule="exact"/>
        <w:ind w:firstLine="640" w:firstLineChars="200"/>
        <w:rPr>
          <w:rFonts w:hint="default" w:ascii="Times New Roman" w:hAnsi="Times New Roman" w:eastAsia="方正楷体_GBK" w:cs="Times New Roman"/>
          <w:color w:val="auto"/>
          <w:sz w:val="32"/>
          <w:szCs w:val="32"/>
        </w:rPr>
      </w:pPr>
    </w:p>
    <w:p w14:paraId="3F852DEC">
      <w:pPr>
        <w:suppressAutoHyphens/>
        <w:bidi w:val="0"/>
        <w:spacing w:line="400" w:lineRule="exact"/>
        <w:ind w:firstLine="640" w:firstLineChars="200"/>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sz w:val="32"/>
          <w:szCs w:val="32"/>
        </w:rPr>
        <w:t>2.</w:t>
      </w:r>
      <w:r>
        <w:rPr>
          <w:rFonts w:hint="default" w:ascii="Times New Roman" w:hAnsi="Times New Roman" w:eastAsia="方正楷体_GBK" w:cs="Times New Roman"/>
          <w:b/>
          <w:bCs/>
          <w:color w:val="auto"/>
          <w:sz w:val="32"/>
          <w:szCs w:val="32"/>
        </w:rPr>
        <w:t>附属及构筑物补偿标准</w:t>
      </w:r>
    </w:p>
    <w:p w14:paraId="2104629A">
      <w:pPr>
        <w:suppressAutoHyphens/>
        <w:bidi w:val="0"/>
        <w:snapToGrid w:val="0"/>
        <w:spacing w:line="200" w:lineRule="exact"/>
        <w:jc w:val="center"/>
        <w:rPr>
          <w:rFonts w:hint="default" w:ascii="Times New Roman" w:hAnsi="Times New Roman" w:eastAsia="方正小标宋_GBK" w:cs="Times New Roman"/>
          <w:color w:val="auto"/>
          <w:kern w:val="0"/>
          <w:sz w:val="36"/>
          <w:szCs w:val="36"/>
        </w:rPr>
      </w:pPr>
    </w:p>
    <w:tbl>
      <w:tblPr>
        <w:tblStyle w:val="11"/>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30"/>
        <w:gridCol w:w="1597"/>
        <w:gridCol w:w="2346"/>
        <w:gridCol w:w="2408"/>
      </w:tblGrid>
      <w:tr w14:paraId="477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4495" w:type="dxa"/>
            <w:gridSpan w:val="3"/>
            <w:noWrap/>
            <w:vAlign w:val="center"/>
          </w:tcPr>
          <w:p w14:paraId="265D8BC9">
            <w:pPr>
              <w:suppressAutoHyphens/>
              <w:bidi w:val="0"/>
              <w:snapToGrid w:val="0"/>
              <w:spacing w:line="30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名称</w:t>
            </w:r>
          </w:p>
        </w:tc>
        <w:tc>
          <w:tcPr>
            <w:tcW w:w="2346" w:type="dxa"/>
            <w:noWrap/>
            <w:vAlign w:val="center"/>
          </w:tcPr>
          <w:p w14:paraId="575BC73A">
            <w:pPr>
              <w:suppressAutoHyphens/>
              <w:bidi w:val="0"/>
              <w:snapToGrid w:val="0"/>
              <w:spacing w:line="30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补偿标准</w:t>
            </w:r>
          </w:p>
        </w:tc>
        <w:tc>
          <w:tcPr>
            <w:tcW w:w="2408" w:type="dxa"/>
            <w:noWrap/>
            <w:vAlign w:val="center"/>
          </w:tcPr>
          <w:p w14:paraId="5494A3A7">
            <w:pPr>
              <w:suppressAutoHyphens/>
              <w:bidi w:val="0"/>
              <w:snapToGrid w:val="0"/>
              <w:spacing w:line="30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备注</w:t>
            </w:r>
          </w:p>
        </w:tc>
      </w:tr>
      <w:tr w14:paraId="39E7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5096750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空</w:t>
            </w:r>
          </w:p>
          <w:p w14:paraId="6F446F3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调</w:t>
            </w:r>
          </w:p>
        </w:tc>
        <w:tc>
          <w:tcPr>
            <w:tcW w:w="3127" w:type="dxa"/>
            <w:gridSpan w:val="2"/>
            <w:noWrap/>
            <w:vAlign w:val="center"/>
          </w:tcPr>
          <w:p w14:paraId="2AD2C3B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壁挂式</w:t>
            </w:r>
          </w:p>
        </w:tc>
        <w:tc>
          <w:tcPr>
            <w:tcW w:w="2346" w:type="dxa"/>
            <w:noWrap/>
            <w:vAlign w:val="center"/>
          </w:tcPr>
          <w:p w14:paraId="4A73CE5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200/台</w:t>
            </w:r>
          </w:p>
        </w:tc>
        <w:tc>
          <w:tcPr>
            <w:tcW w:w="2408" w:type="dxa"/>
            <w:noWrap/>
            <w:vAlign w:val="center"/>
          </w:tcPr>
          <w:p w14:paraId="1B85BFC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2EA6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6953CDE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408289E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分体立柜式</w:t>
            </w:r>
          </w:p>
        </w:tc>
        <w:tc>
          <w:tcPr>
            <w:tcW w:w="2346" w:type="dxa"/>
            <w:noWrap/>
            <w:vAlign w:val="center"/>
          </w:tcPr>
          <w:p w14:paraId="7247664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200/台</w:t>
            </w:r>
          </w:p>
        </w:tc>
        <w:tc>
          <w:tcPr>
            <w:tcW w:w="2408" w:type="dxa"/>
            <w:noWrap/>
            <w:vAlign w:val="center"/>
          </w:tcPr>
          <w:p w14:paraId="316684F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0234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04612AC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热</w:t>
            </w:r>
          </w:p>
          <w:p w14:paraId="59DC35A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w:t>
            </w:r>
          </w:p>
          <w:p w14:paraId="3AA8018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器</w:t>
            </w:r>
          </w:p>
        </w:tc>
        <w:tc>
          <w:tcPr>
            <w:tcW w:w="3127" w:type="dxa"/>
            <w:gridSpan w:val="2"/>
            <w:noWrap/>
            <w:vAlign w:val="center"/>
          </w:tcPr>
          <w:p w14:paraId="41B02F7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太阳能</w:t>
            </w:r>
          </w:p>
        </w:tc>
        <w:tc>
          <w:tcPr>
            <w:tcW w:w="2346" w:type="dxa"/>
            <w:noWrap/>
            <w:vAlign w:val="center"/>
          </w:tcPr>
          <w:p w14:paraId="3B162B4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300元/台</w:t>
            </w:r>
          </w:p>
        </w:tc>
        <w:tc>
          <w:tcPr>
            <w:tcW w:w="2408" w:type="dxa"/>
            <w:noWrap/>
            <w:vAlign w:val="center"/>
          </w:tcPr>
          <w:p w14:paraId="2AF3E9A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5467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7B9A967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2646D9F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电能</w:t>
            </w:r>
          </w:p>
        </w:tc>
        <w:tc>
          <w:tcPr>
            <w:tcW w:w="2346" w:type="dxa"/>
            <w:noWrap/>
            <w:vAlign w:val="center"/>
          </w:tcPr>
          <w:p w14:paraId="2929AF7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200元/台</w:t>
            </w:r>
          </w:p>
        </w:tc>
        <w:tc>
          <w:tcPr>
            <w:tcW w:w="2408" w:type="dxa"/>
            <w:noWrap/>
            <w:vAlign w:val="center"/>
          </w:tcPr>
          <w:p w14:paraId="0A25FFC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2731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1AAE652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401C263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燃气</w:t>
            </w:r>
          </w:p>
        </w:tc>
        <w:tc>
          <w:tcPr>
            <w:tcW w:w="2346" w:type="dxa"/>
            <w:noWrap/>
            <w:vAlign w:val="center"/>
          </w:tcPr>
          <w:p w14:paraId="2015D21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200元/台</w:t>
            </w:r>
          </w:p>
        </w:tc>
        <w:tc>
          <w:tcPr>
            <w:tcW w:w="2408" w:type="dxa"/>
            <w:noWrap/>
            <w:vAlign w:val="center"/>
          </w:tcPr>
          <w:p w14:paraId="7A61E7D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5BCA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7FF3528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围墙</w:t>
            </w:r>
          </w:p>
          <w:p w14:paraId="02C77BA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（24㎝宽）</w:t>
            </w:r>
          </w:p>
        </w:tc>
        <w:tc>
          <w:tcPr>
            <w:tcW w:w="3127" w:type="dxa"/>
            <w:gridSpan w:val="2"/>
            <w:noWrap/>
            <w:vAlign w:val="center"/>
          </w:tcPr>
          <w:p w14:paraId="785EF21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2米（含）高度以上（砖砌）</w:t>
            </w:r>
          </w:p>
        </w:tc>
        <w:tc>
          <w:tcPr>
            <w:tcW w:w="2346" w:type="dxa"/>
            <w:noWrap/>
            <w:vAlign w:val="center"/>
          </w:tcPr>
          <w:p w14:paraId="0B27713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60元/m</w:t>
            </w:r>
          </w:p>
        </w:tc>
        <w:tc>
          <w:tcPr>
            <w:tcW w:w="2408" w:type="dxa"/>
            <w:vMerge w:val="restart"/>
            <w:noWrap/>
            <w:vAlign w:val="center"/>
          </w:tcPr>
          <w:p w14:paraId="4A46540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含基础、</w:t>
            </w:r>
          </w:p>
          <w:p w14:paraId="0F2B5F6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普通面墙</w:t>
            </w:r>
          </w:p>
        </w:tc>
      </w:tr>
      <w:tr w14:paraId="7C9D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56719E35">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64A57E4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1.2米以上2米以下（砖砌）</w:t>
            </w:r>
          </w:p>
        </w:tc>
        <w:tc>
          <w:tcPr>
            <w:tcW w:w="2346" w:type="dxa"/>
            <w:noWrap/>
            <w:vAlign w:val="center"/>
          </w:tcPr>
          <w:p w14:paraId="71009D9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150元/m</w:t>
            </w:r>
          </w:p>
        </w:tc>
        <w:tc>
          <w:tcPr>
            <w:tcW w:w="2408" w:type="dxa"/>
            <w:vMerge w:val="continue"/>
            <w:noWrap/>
            <w:vAlign w:val="center"/>
          </w:tcPr>
          <w:p w14:paraId="385C61D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7939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7151400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水电</w:t>
            </w:r>
          </w:p>
          <w:p w14:paraId="56FBBC3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设施</w:t>
            </w:r>
          </w:p>
        </w:tc>
        <w:tc>
          <w:tcPr>
            <w:tcW w:w="3127" w:type="dxa"/>
            <w:gridSpan w:val="2"/>
            <w:noWrap/>
            <w:vAlign w:val="center"/>
          </w:tcPr>
          <w:p w14:paraId="2A495B2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电表设施</w:t>
            </w:r>
          </w:p>
        </w:tc>
        <w:tc>
          <w:tcPr>
            <w:tcW w:w="2346" w:type="dxa"/>
            <w:noWrap/>
            <w:vAlign w:val="center"/>
          </w:tcPr>
          <w:p w14:paraId="0076FCD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500元/户</w:t>
            </w:r>
          </w:p>
        </w:tc>
        <w:tc>
          <w:tcPr>
            <w:tcW w:w="2408" w:type="dxa"/>
            <w:noWrap/>
            <w:vAlign w:val="center"/>
          </w:tcPr>
          <w:p w14:paraId="2B7B35F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开户、安装</w:t>
            </w:r>
          </w:p>
        </w:tc>
      </w:tr>
      <w:tr w14:paraId="0518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1115E09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7126788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水表设施</w:t>
            </w:r>
          </w:p>
        </w:tc>
        <w:tc>
          <w:tcPr>
            <w:tcW w:w="2346" w:type="dxa"/>
            <w:noWrap/>
            <w:vAlign w:val="center"/>
          </w:tcPr>
          <w:p w14:paraId="6B6154B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500元/户</w:t>
            </w:r>
          </w:p>
        </w:tc>
        <w:tc>
          <w:tcPr>
            <w:tcW w:w="2408" w:type="dxa"/>
            <w:noWrap/>
            <w:vAlign w:val="center"/>
          </w:tcPr>
          <w:p w14:paraId="281E654F">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开户、安装</w:t>
            </w:r>
          </w:p>
        </w:tc>
      </w:tr>
      <w:tr w14:paraId="2505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1DBA79A8">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2971EB1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深水井</w:t>
            </w:r>
          </w:p>
        </w:tc>
        <w:tc>
          <w:tcPr>
            <w:tcW w:w="2346" w:type="dxa"/>
            <w:noWrap/>
            <w:vAlign w:val="center"/>
          </w:tcPr>
          <w:p w14:paraId="595FC86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2000-3000元/口</w:t>
            </w:r>
          </w:p>
        </w:tc>
        <w:tc>
          <w:tcPr>
            <w:tcW w:w="2408" w:type="dxa"/>
            <w:noWrap/>
            <w:vAlign w:val="center"/>
          </w:tcPr>
          <w:p w14:paraId="3B055D7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7134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4EA28A2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6E12B2A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压水井</w:t>
            </w:r>
          </w:p>
        </w:tc>
        <w:tc>
          <w:tcPr>
            <w:tcW w:w="2346" w:type="dxa"/>
            <w:noWrap/>
            <w:vAlign w:val="center"/>
          </w:tcPr>
          <w:p w14:paraId="2FDA095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700元/口</w:t>
            </w:r>
          </w:p>
        </w:tc>
        <w:tc>
          <w:tcPr>
            <w:tcW w:w="2408" w:type="dxa"/>
            <w:noWrap/>
            <w:vAlign w:val="center"/>
          </w:tcPr>
          <w:p w14:paraId="06F16DC1">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51CE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4CF5E3D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炉灶</w:t>
            </w:r>
          </w:p>
        </w:tc>
        <w:tc>
          <w:tcPr>
            <w:tcW w:w="3127" w:type="dxa"/>
            <w:gridSpan w:val="2"/>
            <w:noWrap/>
            <w:vAlign w:val="center"/>
          </w:tcPr>
          <w:p w14:paraId="6934D86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单口</w:t>
            </w:r>
          </w:p>
        </w:tc>
        <w:tc>
          <w:tcPr>
            <w:tcW w:w="2346" w:type="dxa"/>
            <w:noWrap/>
            <w:vAlign w:val="center"/>
          </w:tcPr>
          <w:p w14:paraId="2FBC117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200-400元/个</w:t>
            </w:r>
          </w:p>
        </w:tc>
        <w:tc>
          <w:tcPr>
            <w:tcW w:w="2408" w:type="dxa"/>
            <w:noWrap/>
            <w:vAlign w:val="center"/>
          </w:tcPr>
          <w:p w14:paraId="38E2F2B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20F1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0EF0E34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09DB125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双口</w:t>
            </w:r>
          </w:p>
        </w:tc>
        <w:tc>
          <w:tcPr>
            <w:tcW w:w="2346" w:type="dxa"/>
            <w:noWrap/>
            <w:vAlign w:val="center"/>
          </w:tcPr>
          <w:p w14:paraId="3CEEC7B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400-600元/个</w:t>
            </w:r>
          </w:p>
        </w:tc>
        <w:tc>
          <w:tcPr>
            <w:tcW w:w="2408" w:type="dxa"/>
            <w:noWrap/>
            <w:vAlign w:val="center"/>
          </w:tcPr>
          <w:p w14:paraId="5AE40D4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765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4F77FC92">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79F7041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抽油烟机</w:t>
            </w:r>
          </w:p>
        </w:tc>
        <w:tc>
          <w:tcPr>
            <w:tcW w:w="2346" w:type="dxa"/>
            <w:noWrap/>
            <w:vAlign w:val="center"/>
          </w:tcPr>
          <w:p w14:paraId="2968974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300元/台</w:t>
            </w:r>
          </w:p>
        </w:tc>
        <w:tc>
          <w:tcPr>
            <w:tcW w:w="2408" w:type="dxa"/>
            <w:noWrap/>
            <w:vAlign w:val="center"/>
          </w:tcPr>
          <w:p w14:paraId="5F8DCBA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076D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334AA09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7A3AD85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砼燃气灶台</w:t>
            </w:r>
          </w:p>
        </w:tc>
        <w:tc>
          <w:tcPr>
            <w:tcW w:w="2346" w:type="dxa"/>
            <w:noWrap/>
            <w:vAlign w:val="center"/>
          </w:tcPr>
          <w:p w14:paraId="6532D36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300—500元/㎡</w:t>
            </w:r>
          </w:p>
        </w:tc>
        <w:tc>
          <w:tcPr>
            <w:tcW w:w="2408" w:type="dxa"/>
            <w:noWrap/>
            <w:vAlign w:val="center"/>
          </w:tcPr>
          <w:p w14:paraId="6CD134A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预制、现浇砼板</w:t>
            </w:r>
          </w:p>
        </w:tc>
      </w:tr>
      <w:tr w14:paraId="5B2C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5A00340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卫生</w:t>
            </w:r>
          </w:p>
          <w:p w14:paraId="713F059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设施</w:t>
            </w:r>
          </w:p>
        </w:tc>
        <w:tc>
          <w:tcPr>
            <w:tcW w:w="3127" w:type="dxa"/>
            <w:gridSpan w:val="2"/>
            <w:noWrap/>
            <w:vAlign w:val="center"/>
          </w:tcPr>
          <w:p w14:paraId="3405241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浴缸</w:t>
            </w:r>
          </w:p>
        </w:tc>
        <w:tc>
          <w:tcPr>
            <w:tcW w:w="2346" w:type="dxa"/>
            <w:noWrap/>
            <w:vAlign w:val="center"/>
          </w:tcPr>
          <w:p w14:paraId="7A6CD48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600—800元/个</w:t>
            </w:r>
          </w:p>
        </w:tc>
        <w:tc>
          <w:tcPr>
            <w:tcW w:w="2408" w:type="dxa"/>
            <w:noWrap/>
            <w:vAlign w:val="center"/>
          </w:tcPr>
          <w:p w14:paraId="6FAAD35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2E2F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0E72960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365B0EC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座便器</w:t>
            </w:r>
          </w:p>
        </w:tc>
        <w:tc>
          <w:tcPr>
            <w:tcW w:w="2346" w:type="dxa"/>
            <w:noWrap/>
            <w:vAlign w:val="center"/>
          </w:tcPr>
          <w:p w14:paraId="4BF08BF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500—800元/个</w:t>
            </w:r>
          </w:p>
        </w:tc>
        <w:tc>
          <w:tcPr>
            <w:tcW w:w="2408" w:type="dxa"/>
            <w:noWrap/>
            <w:vAlign w:val="center"/>
          </w:tcPr>
          <w:p w14:paraId="301FC0D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B2B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24E7CA2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607759E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洗漱台</w:t>
            </w:r>
          </w:p>
        </w:tc>
        <w:tc>
          <w:tcPr>
            <w:tcW w:w="2346" w:type="dxa"/>
            <w:noWrap/>
            <w:vAlign w:val="center"/>
          </w:tcPr>
          <w:p w14:paraId="6B145F8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600—800元/个</w:t>
            </w:r>
          </w:p>
        </w:tc>
        <w:tc>
          <w:tcPr>
            <w:tcW w:w="2408" w:type="dxa"/>
            <w:noWrap/>
            <w:vAlign w:val="center"/>
          </w:tcPr>
          <w:p w14:paraId="7CFAA203">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CEA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50F830A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其他</w:t>
            </w:r>
          </w:p>
        </w:tc>
        <w:tc>
          <w:tcPr>
            <w:tcW w:w="3127" w:type="dxa"/>
            <w:gridSpan w:val="2"/>
            <w:noWrap/>
            <w:vAlign w:val="center"/>
          </w:tcPr>
          <w:p w14:paraId="29D4210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水池及洗衣台</w:t>
            </w:r>
          </w:p>
        </w:tc>
        <w:tc>
          <w:tcPr>
            <w:tcW w:w="2346" w:type="dxa"/>
            <w:noWrap/>
            <w:vAlign w:val="center"/>
          </w:tcPr>
          <w:p w14:paraId="5BF4BD7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300元/个</w:t>
            </w:r>
          </w:p>
        </w:tc>
        <w:tc>
          <w:tcPr>
            <w:tcW w:w="2408" w:type="dxa"/>
            <w:noWrap/>
            <w:vAlign w:val="center"/>
          </w:tcPr>
          <w:p w14:paraId="28612AE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10C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0D349E7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399B5A9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砖混独立院门（楼）</w:t>
            </w:r>
          </w:p>
        </w:tc>
        <w:tc>
          <w:tcPr>
            <w:tcW w:w="2346" w:type="dxa"/>
            <w:noWrap/>
            <w:vAlign w:val="center"/>
          </w:tcPr>
          <w:p w14:paraId="61C8237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500元/㎡</w:t>
            </w:r>
          </w:p>
        </w:tc>
        <w:tc>
          <w:tcPr>
            <w:tcW w:w="2408" w:type="dxa"/>
            <w:noWrap/>
            <w:vAlign w:val="center"/>
          </w:tcPr>
          <w:p w14:paraId="6464025C">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65E37FCC">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2A072953">
            <w:pPr>
              <w:suppressAutoHyphens/>
              <w:bidi w:val="0"/>
              <w:snapToGrid w:val="0"/>
              <w:spacing w:line="300" w:lineRule="exact"/>
              <w:jc w:val="center"/>
              <w:rPr>
                <w:rFonts w:hint="default" w:ascii="Times New Roman" w:hAnsi="Times New Roman" w:eastAsia="方正仿宋_GBK" w:cs="Times New Roman"/>
                <w:color w:val="auto"/>
                <w:sz w:val="24"/>
                <w:szCs w:val="24"/>
              </w:rPr>
            </w:pPr>
          </w:p>
          <w:p w14:paraId="41186A6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33F6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68" w:type="dxa"/>
            <w:vMerge w:val="restart"/>
            <w:noWrap/>
            <w:vAlign w:val="center"/>
          </w:tcPr>
          <w:p w14:paraId="673C0532">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阁</w:t>
            </w:r>
          </w:p>
          <w:p w14:paraId="206C491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楼</w:t>
            </w:r>
          </w:p>
        </w:tc>
        <w:tc>
          <w:tcPr>
            <w:tcW w:w="1530" w:type="dxa"/>
            <w:vMerge w:val="restart"/>
            <w:noWrap/>
            <w:vAlign w:val="center"/>
          </w:tcPr>
          <w:p w14:paraId="6616488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正规式</w:t>
            </w:r>
          </w:p>
        </w:tc>
        <w:tc>
          <w:tcPr>
            <w:tcW w:w="1597" w:type="dxa"/>
            <w:noWrap/>
            <w:vAlign w:val="center"/>
          </w:tcPr>
          <w:p w14:paraId="7F5BC37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檐高1.8米以上（含）</w:t>
            </w:r>
          </w:p>
        </w:tc>
        <w:tc>
          <w:tcPr>
            <w:tcW w:w="2346" w:type="dxa"/>
            <w:noWrap/>
            <w:vAlign w:val="center"/>
          </w:tcPr>
          <w:p w14:paraId="4C405F3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300—500元/㎡</w:t>
            </w:r>
          </w:p>
        </w:tc>
        <w:tc>
          <w:tcPr>
            <w:tcW w:w="2408" w:type="dxa"/>
            <w:noWrap/>
            <w:vAlign w:val="center"/>
          </w:tcPr>
          <w:p w14:paraId="5699E94B">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6975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68" w:type="dxa"/>
            <w:vMerge w:val="continue"/>
            <w:noWrap/>
            <w:vAlign w:val="center"/>
          </w:tcPr>
          <w:p w14:paraId="1A5844AC">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530" w:type="dxa"/>
            <w:vMerge w:val="continue"/>
            <w:noWrap/>
            <w:vAlign w:val="center"/>
          </w:tcPr>
          <w:p w14:paraId="7179664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597" w:type="dxa"/>
            <w:noWrap/>
            <w:vAlign w:val="center"/>
          </w:tcPr>
          <w:p w14:paraId="3B040CA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檐高1.8米以下</w:t>
            </w:r>
          </w:p>
        </w:tc>
        <w:tc>
          <w:tcPr>
            <w:tcW w:w="2346" w:type="dxa"/>
            <w:noWrap/>
            <w:vAlign w:val="center"/>
          </w:tcPr>
          <w:p w14:paraId="7B2E87D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200—300元/㎡</w:t>
            </w:r>
          </w:p>
        </w:tc>
        <w:tc>
          <w:tcPr>
            <w:tcW w:w="2408" w:type="dxa"/>
            <w:noWrap/>
            <w:vAlign w:val="center"/>
          </w:tcPr>
          <w:p w14:paraId="6A56138A">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458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68" w:type="dxa"/>
            <w:vMerge w:val="continue"/>
            <w:noWrap/>
            <w:vAlign w:val="center"/>
          </w:tcPr>
          <w:p w14:paraId="7D9FCC7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530" w:type="dxa"/>
            <w:noWrap/>
            <w:vAlign w:val="center"/>
          </w:tcPr>
          <w:p w14:paraId="2A150AB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普通式</w:t>
            </w:r>
          </w:p>
        </w:tc>
        <w:tc>
          <w:tcPr>
            <w:tcW w:w="1597" w:type="dxa"/>
            <w:noWrap/>
            <w:vAlign w:val="center"/>
          </w:tcPr>
          <w:p w14:paraId="66EB79D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檐高1.4米及以下</w:t>
            </w:r>
          </w:p>
        </w:tc>
        <w:tc>
          <w:tcPr>
            <w:tcW w:w="2346" w:type="dxa"/>
            <w:noWrap/>
            <w:vAlign w:val="center"/>
          </w:tcPr>
          <w:p w14:paraId="632D9DC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100—200元/㎡</w:t>
            </w:r>
          </w:p>
        </w:tc>
        <w:tc>
          <w:tcPr>
            <w:tcW w:w="2408" w:type="dxa"/>
            <w:noWrap/>
            <w:vAlign w:val="center"/>
          </w:tcPr>
          <w:p w14:paraId="583E2FA8">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31C3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368" w:type="dxa"/>
            <w:vMerge w:val="continue"/>
            <w:noWrap/>
            <w:vAlign w:val="center"/>
          </w:tcPr>
          <w:p w14:paraId="33A668C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1530" w:type="dxa"/>
            <w:noWrap/>
            <w:vAlign w:val="center"/>
          </w:tcPr>
          <w:p w14:paraId="0E197CE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简易式</w:t>
            </w:r>
          </w:p>
        </w:tc>
        <w:tc>
          <w:tcPr>
            <w:tcW w:w="1597" w:type="dxa"/>
            <w:noWrap/>
            <w:vAlign w:val="center"/>
          </w:tcPr>
          <w:p w14:paraId="594B90D4">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2346" w:type="dxa"/>
            <w:noWrap/>
            <w:vAlign w:val="center"/>
          </w:tcPr>
          <w:p w14:paraId="0AAACE3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w:t>
            </w:r>
          </w:p>
        </w:tc>
        <w:tc>
          <w:tcPr>
            <w:tcW w:w="2408" w:type="dxa"/>
            <w:noWrap/>
            <w:vAlign w:val="center"/>
          </w:tcPr>
          <w:p w14:paraId="090F8135">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1D62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368" w:type="dxa"/>
            <w:vMerge w:val="restart"/>
            <w:noWrap/>
            <w:vAlign w:val="center"/>
          </w:tcPr>
          <w:p w14:paraId="7BE8D3A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附属房</w:t>
            </w:r>
          </w:p>
        </w:tc>
        <w:tc>
          <w:tcPr>
            <w:tcW w:w="3127" w:type="dxa"/>
            <w:gridSpan w:val="2"/>
            <w:noWrap/>
            <w:vAlign w:val="center"/>
          </w:tcPr>
          <w:p w14:paraId="53477CE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砖混</w:t>
            </w:r>
          </w:p>
        </w:tc>
        <w:tc>
          <w:tcPr>
            <w:tcW w:w="2346" w:type="dxa"/>
            <w:noWrap/>
            <w:vAlign w:val="center"/>
          </w:tcPr>
          <w:p w14:paraId="56DCAE8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400-600元/㎡</w:t>
            </w:r>
          </w:p>
        </w:tc>
        <w:tc>
          <w:tcPr>
            <w:tcW w:w="2408" w:type="dxa"/>
            <w:vMerge w:val="restart"/>
            <w:noWrap/>
            <w:vAlign w:val="center"/>
          </w:tcPr>
          <w:p w14:paraId="08A10DFE">
            <w:pPr>
              <w:keepNext w:val="0"/>
              <w:keepLines w:val="0"/>
              <w:pageBreakBefore w:val="0"/>
              <w:widowControl w:val="0"/>
              <w:suppressAutoHyphens/>
              <w:kinsoku/>
              <w:wordWrap/>
              <w:overflowPunct/>
              <w:topLinePunct w:val="0"/>
              <w:autoSpaceDE/>
              <w:autoSpaceDN/>
              <w:bidi w:val="0"/>
              <w:adjustRightInd/>
              <w:snapToGrid w:val="0"/>
              <w:spacing w:line="28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房屋高度未达到2.2米以上、或虽达2.2米以上，结构简单，无门窗的非居住房。</w:t>
            </w:r>
          </w:p>
        </w:tc>
      </w:tr>
      <w:tr w14:paraId="6304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78ADB5E2">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58F223A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砖木（小瓦）</w:t>
            </w:r>
          </w:p>
        </w:tc>
        <w:tc>
          <w:tcPr>
            <w:tcW w:w="2346" w:type="dxa"/>
            <w:noWrap/>
            <w:vAlign w:val="center"/>
          </w:tcPr>
          <w:p w14:paraId="41221F4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300-500元/㎡</w:t>
            </w:r>
          </w:p>
        </w:tc>
        <w:tc>
          <w:tcPr>
            <w:tcW w:w="2408" w:type="dxa"/>
            <w:vMerge w:val="continue"/>
            <w:noWrap/>
            <w:vAlign w:val="center"/>
          </w:tcPr>
          <w:p w14:paraId="2FD3FF09">
            <w:pPr>
              <w:suppressAutoHyphens/>
              <w:bidi w:val="0"/>
              <w:snapToGrid w:val="0"/>
              <w:spacing w:line="300" w:lineRule="exact"/>
              <w:jc w:val="left"/>
              <w:rPr>
                <w:rFonts w:hint="default" w:ascii="Times New Roman" w:hAnsi="Times New Roman" w:eastAsia="方正仿宋_GBK" w:cs="Times New Roman"/>
                <w:color w:val="auto"/>
                <w:sz w:val="24"/>
                <w:szCs w:val="24"/>
              </w:rPr>
            </w:pPr>
          </w:p>
        </w:tc>
      </w:tr>
      <w:tr w14:paraId="6A53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1869F066">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3860E55E">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砖木（石棉瓦）</w:t>
            </w:r>
          </w:p>
        </w:tc>
        <w:tc>
          <w:tcPr>
            <w:tcW w:w="2346" w:type="dxa"/>
            <w:noWrap/>
            <w:vAlign w:val="center"/>
          </w:tcPr>
          <w:p w14:paraId="29BFBF5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220元/㎡</w:t>
            </w:r>
          </w:p>
        </w:tc>
        <w:tc>
          <w:tcPr>
            <w:tcW w:w="2408" w:type="dxa"/>
            <w:vMerge w:val="continue"/>
            <w:noWrap/>
            <w:vAlign w:val="center"/>
          </w:tcPr>
          <w:p w14:paraId="3D83C93B">
            <w:pPr>
              <w:suppressAutoHyphens/>
              <w:bidi w:val="0"/>
              <w:snapToGrid w:val="0"/>
              <w:spacing w:line="300" w:lineRule="exact"/>
              <w:jc w:val="left"/>
              <w:rPr>
                <w:rFonts w:hint="default" w:ascii="Times New Roman" w:hAnsi="Times New Roman" w:eastAsia="方正仿宋_GBK" w:cs="Times New Roman"/>
                <w:color w:val="auto"/>
                <w:sz w:val="24"/>
                <w:szCs w:val="24"/>
              </w:rPr>
            </w:pPr>
          </w:p>
        </w:tc>
      </w:tr>
      <w:tr w14:paraId="7D6C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7EF243A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附属棚</w:t>
            </w:r>
          </w:p>
        </w:tc>
        <w:tc>
          <w:tcPr>
            <w:tcW w:w="3127" w:type="dxa"/>
            <w:gridSpan w:val="2"/>
            <w:noWrap/>
            <w:vAlign w:val="center"/>
          </w:tcPr>
          <w:p w14:paraId="7761DCE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铁架（全封闭）</w:t>
            </w:r>
          </w:p>
        </w:tc>
        <w:tc>
          <w:tcPr>
            <w:tcW w:w="2346" w:type="dxa"/>
            <w:noWrap/>
            <w:vAlign w:val="center"/>
          </w:tcPr>
          <w:p w14:paraId="0785B13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200—300元/㎡</w:t>
            </w:r>
          </w:p>
        </w:tc>
        <w:tc>
          <w:tcPr>
            <w:tcW w:w="2408" w:type="dxa"/>
            <w:vMerge w:val="restart"/>
            <w:noWrap/>
            <w:vAlign w:val="center"/>
          </w:tcPr>
          <w:p w14:paraId="4AA9EB72">
            <w:pPr>
              <w:suppressAutoHyphens/>
              <w:bidi w:val="0"/>
              <w:snapToGrid w:val="0"/>
              <w:spacing w:line="30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借用房屋或围墙搭建的单独顶盖，无自身围合结构的搭建物。</w:t>
            </w:r>
          </w:p>
        </w:tc>
      </w:tr>
      <w:tr w14:paraId="7A53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0B1FBD79">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547DE0D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砖木及半封闭铁架棚</w:t>
            </w:r>
          </w:p>
        </w:tc>
        <w:tc>
          <w:tcPr>
            <w:tcW w:w="2346" w:type="dxa"/>
            <w:noWrap/>
            <w:vAlign w:val="center"/>
          </w:tcPr>
          <w:p w14:paraId="5B194EC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150—200元/㎡</w:t>
            </w:r>
          </w:p>
        </w:tc>
        <w:tc>
          <w:tcPr>
            <w:tcW w:w="2408" w:type="dxa"/>
            <w:vMerge w:val="continue"/>
            <w:noWrap/>
            <w:vAlign w:val="center"/>
          </w:tcPr>
          <w:p w14:paraId="6A13DDDB">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1F4B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3CF5D18D">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4E6A066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简易及敞开式铁架棚</w:t>
            </w:r>
          </w:p>
        </w:tc>
        <w:tc>
          <w:tcPr>
            <w:tcW w:w="2346" w:type="dxa"/>
            <w:noWrap/>
            <w:vAlign w:val="center"/>
          </w:tcPr>
          <w:p w14:paraId="619CBA1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100—150元/㎡</w:t>
            </w:r>
          </w:p>
        </w:tc>
        <w:tc>
          <w:tcPr>
            <w:tcW w:w="2408" w:type="dxa"/>
            <w:vMerge w:val="continue"/>
            <w:noWrap/>
            <w:vAlign w:val="center"/>
          </w:tcPr>
          <w:p w14:paraId="7C52669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75A5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6D8039A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c>
          <w:tcPr>
            <w:tcW w:w="3127" w:type="dxa"/>
            <w:gridSpan w:val="2"/>
            <w:noWrap/>
            <w:vAlign w:val="center"/>
          </w:tcPr>
          <w:p w14:paraId="44E3FE75">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不锈钢水塔</w:t>
            </w:r>
          </w:p>
        </w:tc>
        <w:tc>
          <w:tcPr>
            <w:tcW w:w="2346" w:type="dxa"/>
            <w:noWrap/>
            <w:vAlign w:val="center"/>
          </w:tcPr>
          <w:p w14:paraId="59627C8D">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200元/个</w:t>
            </w:r>
          </w:p>
        </w:tc>
        <w:tc>
          <w:tcPr>
            <w:tcW w:w="2408" w:type="dxa"/>
            <w:noWrap/>
            <w:vAlign w:val="center"/>
          </w:tcPr>
          <w:p w14:paraId="40490690">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029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726914D0">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4C04077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宽带</w:t>
            </w:r>
          </w:p>
        </w:tc>
        <w:tc>
          <w:tcPr>
            <w:tcW w:w="2346" w:type="dxa"/>
            <w:noWrap/>
            <w:vAlign w:val="center"/>
          </w:tcPr>
          <w:p w14:paraId="5069164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100元/户</w:t>
            </w:r>
          </w:p>
        </w:tc>
        <w:tc>
          <w:tcPr>
            <w:tcW w:w="2408" w:type="dxa"/>
            <w:noWrap/>
            <w:vAlign w:val="center"/>
          </w:tcPr>
          <w:p w14:paraId="4FAD5961">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6321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36DB640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39CC53E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电话</w:t>
            </w:r>
          </w:p>
        </w:tc>
        <w:tc>
          <w:tcPr>
            <w:tcW w:w="2346" w:type="dxa"/>
            <w:noWrap/>
            <w:vAlign w:val="center"/>
          </w:tcPr>
          <w:p w14:paraId="0298B4B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100元/户</w:t>
            </w:r>
          </w:p>
        </w:tc>
        <w:tc>
          <w:tcPr>
            <w:tcW w:w="2408" w:type="dxa"/>
            <w:noWrap/>
            <w:vAlign w:val="center"/>
          </w:tcPr>
          <w:p w14:paraId="4871EC67">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拆装费</w:t>
            </w:r>
          </w:p>
        </w:tc>
      </w:tr>
      <w:tr w14:paraId="287A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540A709C">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519A887B">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有线电视</w:t>
            </w:r>
          </w:p>
        </w:tc>
        <w:tc>
          <w:tcPr>
            <w:tcW w:w="2346" w:type="dxa"/>
            <w:noWrap/>
            <w:vAlign w:val="center"/>
          </w:tcPr>
          <w:p w14:paraId="5BA2940A">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100元/户</w:t>
            </w:r>
          </w:p>
        </w:tc>
        <w:tc>
          <w:tcPr>
            <w:tcW w:w="2408" w:type="dxa"/>
            <w:noWrap/>
            <w:vAlign w:val="center"/>
          </w:tcPr>
          <w:p w14:paraId="6FC6A4F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迁移</w:t>
            </w:r>
          </w:p>
        </w:tc>
      </w:tr>
      <w:tr w14:paraId="71C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restart"/>
            <w:noWrap/>
            <w:vAlign w:val="center"/>
          </w:tcPr>
          <w:p w14:paraId="2535DF23">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其他</w:t>
            </w:r>
          </w:p>
        </w:tc>
        <w:tc>
          <w:tcPr>
            <w:tcW w:w="3127" w:type="dxa"/>
            <w:gridSpan w:val="2"/>
            <w:noWrap/>
            <w:vAlign w:val="center"/>
          </w:tcPr>
          <w:p w14:paraId="6186E506">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石磅</w:t>
            </w:r>
          </w:p>
        </w:tc>
        <w:tc>
          <w:tcPr>
            <w:tcW w:w="2346" w:type="dxa"/>
            <w:noWrap/>
            <w:vAlign w:val="center"/>
          </w:tcPr>
          <w:p w14:paraId="7DC0B1A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170-220元/m</w:t>
            </w:r>
            <w:r>
              <w:rPr>
                <w:rFonts w:hint="default" w:ascii="Times New Roman" w:hAnsi="Times New Roman" w:eastAsia="方正仿宋_GBK" w:cs="Times New Roman"/>
                <w:color w:val="auto"/>
                <w:sz w:val="24"/>
                <w:szCs w:val="24"/>
                <w:vertAlign w:val="superscript"/>
              </w:rPr>
              <w:t>3</w:t>
            </w:r>
          </w:p>
        </w:tc>
        <w:tc>
          <w:tcPr>
            <w:tcW w:w="2408" w:type="dxa"/>
            <w:noWrap/>
            <w:vAlign w:val="center"/>
          </w:tcPr>
          <w:p w14:paraId="687512CF">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0915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3CC1049E">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2560933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罗马柱护栏</w:t>
            </w:r>
          </w:p>
        </w:tc>
        <w:tc>
          <w:tcPr>
            <w:tcW w:w="2346" w:type="dxa"/>
            <w:noWrap/>
            <w:vAlign w:val="center"/>
          </w:tcPr>
          <w:p w14:paraId="515F36D8">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80元/m</w:t>
            </w:r>
          </w:p>
        </w:tc>
        <w:tc>
          <w:tcPr>
            <w:tcW w:w="2408" w:type="dxa"/>
            <w:noWrap/>
            <w:vAlign w:val="center"/>
          </w:tcPr>
          <w:p w14:paraId="2190EED7">
            <w:pPr>
              <w:suppressAutoHyphens/>
              <w:bidi w:val="0"/>
              <w:snapToGrid w:val="0"/>
              <w:spacing w:line="300" w:lineRule="exact"/>
              <w:jc w:val="center"/>
              <w:rPr>
                <w:rFonts w:hint="default" w:ascii="Times New Roman" w:hAnsi="Times New Roman" w:eastAsia="方正仿宋_GBK" w:cs="Times New Roman"/>
                <w:color w:val="auto"/>
                <w:sz w:val="24"/>
                <w:szCs w:val="24"/>
              </w:rPr>
            </w:pPr>
          </w:p>
        </w:tc>
      </w:tr>
      <w:tr w14:paraId="20F4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Merge w:val="continue"/>
            <w:noWrap/>
            <w:vAlign w:val="center"/>
          </w:tcPr>
          <w:p w14:paraId="07DC3D1B">
            <w:pPr>
              <w:suppressAutoHyphens/>
              <w:bidi w:val="0"/>
              <w:snapToGrid w:val="0"/>
              <w:spacing w:line="300" w:lineRule="exact"/>
              <w:jc w:val="center"/>
              <w:rPr>
                <w:rFonts w:hint="default" w:ascii="Times New Roman" w:hAnsi="Times New Roman" w:eastAsia="方正仿宋_GBK" w:cs="Times New Roman"/>
                <w:color w:val="auto"/>
                <w:sz w:val="24"/>
                <w:szCs w:val="24"/>
              </w:rPr>
            </w:pPr>
          </w:p>
        </w:tc>
        <w:tc>
          <w:tcPr>
            <w:tcW w:w="3127" w:type="dxa"/>
            <w:gridSpan w:val="2"/>
            <w:noWrap/>
            <w:vAlign w:val="center"/>
          </w:tcPr>
          <w:p w14:paraId="7ACF34A4">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镜</w:t>
            </w:r>
          </w:p>
        </w:tc>
        <w:tc>
          <w:tcPr>
            <w:tcW w:w="2346" w:type="dxa"/>
            <w:noWrap/>
            <w:vAlign w:val="center"/>
          </w:tcPr>
          <w:p w14:paraId="77CA3B1C">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100元/面</w:t>
            </w:r>
          </w:p>
        </w:tc>
        <w:tc>
          <w:tcPr>
            <w:tcW w:w="2408" w:type="dxa"/>
            <w:noWrap/>
            <w:vAlign w:val="center"/>
          </w:tcPr>
          <w:p w14:paraId="70493F59">
            <w:pPr>
              <w:suppressAutoHyphens/>
              <w:bidi w:val="0"/>
              <w:snapToGrid w:val="0"/>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固定镜面</w:t>
            </w:r>
          </w:p>
        </w:tc>
      </w:tr>
    </w:tbl>
    <w:p w14:paraId="54C6659F">
      <w:pPr>
        <w:suppressAutoHyphens/>
        <w:bidi w:val="0"/>
        <w:spacing w:line="200" w:lineRule="exact"/>
        <w:rPr>
          <w:rFonts w:hint="default" w:ascii="Times New Roman" w:hAnsi="Times New Roman" w:eastAsia="仿宋_GB2312" w:cs="Times New Roman"/>
          <w:color w:val="auto"/>
          <w:sz w:val="24"/>
          <w:szCs w:val="24"/>
        </w:rPr>
      </w:pPr>
    </w:p>
    <w:p w14:paraId="45A485DA">
      <w:pPr>
        <w:suppressAutoHyphens/>
        <w:bidi w:val="0"/>
        <w:rPr>
          <w:rFonts w:hint="default" w:ascii="Times New Roman" w:hAnsi="Times New Roman" w:eastAsia="楷体_GB2312" w:cs="Times New Roman"/>
          <w:color w:val="auto"/>
          <w:sz w:val="24"/>
          <w:szCs w:val="24"/>
        </w:rPr>
      </w:pPr>
      <w:r>
        <w:rPr>
          <w:rFonts w:hint="default" w:ascii="Times New Roman" w:hAnsi="Times New Roman" w:eastAsia="方正楷体_GBK" w:cs="Times New Roman"/>
          <w:color w:val="auto"/>
          <w:sz w:val="24"/>
          <w:szCs w:val="24"/>
        </w:rPr>
        <w:t>备注：标准内未列入的项目由征收实施单位参照市场价格确定。</w:t>
      </w:r>
    </w:p>
    <w:p w14:paraId="351F7539">
      <w:pPr>
        <w:suppressAutoHyphens/>
        <w:bidi w:val="0"/>
        <w:adjustRightInd w:val="0"/>
        <w:snapToGrid w:val="0"/>
        <w:spacing w:line="574" w:lineRule="exact"/>
        <w:rPr>
          <w:rFonts w:hint="default" w:ascii="Times New Roman" w:hAnsi="Times New Roman" w:eastAsia="方正黑体_GBK" w:cs="Times New Roman"/>
          <w:bCs/>
          <w:color w:val="auto"/>
          <w:spacing w:val="8"/>
          <w:kern w:val="0"/>
          <w:sz w:val="32"/>
          <w:szCs w:val="32"/>
          <w:lang w:val="en-US" w:eastAsia="zh-CN"/>
        </w:rPr>
      </w:pPr>
      <w:r>
        <w:rPr>
          <w:rFonts w:hint="default" w:ascii="Times New Roman" w:hAnsi="Times New Roman" w:eastAsia="方正黑体_GBK" w:cs="Times New Roman"/>
          <w:bCs/>
          <w:color w:val="auto"/>
          <w:spacing w:val="8"/>
          <w:kern w:val="0"/>
          <w:sz w:val="32"/>
          <w:szCs w:val="32"/>
        </w:rPr>
        <w:t>附件</w:t>
      </w:r>
      <w:r>
        <w:rPr>
          <w:rFonts w:hint="default" w:ascii="Times New Roman" w:hAnsi="Times New Roman" w:eastAsia="方正黑体_GBK" w:cs="Times New Roman"/>
          <w:bCs/>
          <w:color w:val="auto"/>
          <w:spacing w:val="8"/>
          <w:kern w:val="0"/>
          <w:sz w:val="32"/>
          <w:szCs w:val="32"/>
          <w:lang w:val="en-US" w:eastAsia="zh-CN"/>
        </w:rPr>
        <w:t>5</w:t>
      </w:r>
    </w:p>
    <w:p w14:paraId="410BB48D">
      <w:pPr>
        <w:suppressAutoHyphens/>
        <w:bidi w:val="0"/>
        <w:spacing w:line="40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其他附着物补偿标准</w:t>
      </w:r>
    </w:p>
    <w:p w14:paraId="6ABE0311">
      <w:pPr>
        <w:suppressAutoHyphens/>
        <w:bidi w:val="0"/>
        <w:snapToGrid w:val="0"/>
        <w:spacing w:line="400" w:lineRule="exact"/>
        <w:ind w:firstLine="672"/>
        <w:rPr>
          <w:rFonts w:hint="default" w:ascii="Times New Roman" w:hAnsi="Times New Roman" w:eastAsia="楷体_GB2312" w:cs="Times New Roman"/>
          <w:bCs/>
          <w:color w:val="auto"/>
          <w:spacing w:val="8"/>
          <w:kern w:val="0"/>
          <w:sz w:val="32"/>
          <w:szCs w:val="32"/>
        </w:rPr>
      </w:pPr>
    </w:p>
    <w:p w14:paraId="06FB7733">
      <w:pPr>
        <w:suppressAutoHyphens/>
        <w:bidi w:val="0"/>
        <w:snapToGrid w:val="0"/>
        <w:spacing w:line="400" w:lineRule="exact"/>
        <w:ind w:firstLine="672"/>
        <w:rPr>
          <w:rFonts w:hint="default" w:ascii="Times New Roman" w:hAnsi="Times New Roman" w:eastAsia="方正楷体_GBK" w:cs="Times New Roman"/>
          <w:b w:val="0"/>
          <w:bCs/>
          <w:color w:val="auto"/>
          <w:spacing w:val="8"/>
          <w:kern w:val="0"/>
          <w:sz w:val="32"/>
          <w:szCs w:val="32"/>
        </w:rPr>
      </w:pPr>
      <w:r>
        <w:rPr>
          <w:rFonts w:hint="default" w:ascii="Times New Roman" w:hAnsi="Times New Roman" w:eastAsia="方正楷体_GBK" w:cs="Times New Roman"/>
          <w:b w:val="0"/>
          <w:bCs/>
          <w:color w:val="auto"/>
          <w:spacing w:val="8"/>
          <w:kern w:val="0"/>
          <w:sz w:val="32"/>
          <w:szCs w:val="32"/>
        </w:rPr>
        <w:t>1</w:t>
      </w:r>
      <w:r>
        <w:rPr>
          <w:rFonts w:hint="default" w:ascii="Times New Roman" w:hAnsi="Times New Roman" w:eastAsia="方正楷体_GBK" w:cs="Times New Roman"/>
          <w:b w:val="0"/>
          <w:bCs/>
          <w:color w:val="auto"/>
          <w:spacing w:val="8"/>
          <w:kern w:val="0"/>
          <w:sz w:val="32"/>
          <w:szCs w:val="32"/>
          <w:lang w:val="en-US" w:eastAsia="zh-CN"/>
        </w:rPr>
        <w:t>.</w:t>
      </w:r>
      <w:r>
        <w:rPr>
          <w:rFonts w:hint="default" w:ascii="Times New Roman" w:hAnsi="Times New Roman" w:eastAsia="方正楷体_GBK" w:cs="Times New Roman"/>
          <w:b w:val="0"/>
          <w:bCs/>
          <w:color w:val="auto"/>
          <w:spacing w:val="8"/>
          <w:kern w:val="0"/>
          <w:sz w:val="32"/>
          <w:szCs w:val="32"/>
        </w:rPr>
        <w:t>农村道路补偿标准</w:t>
      </w:r>
    </w:p>
    <w:tbl>
      <w:tblPr>
        <w:tblStyle w:val="11"/>
        <w:tblW w:w="8996" w:type="dxa"/>
        <w:tblInd w:w="0" w:type="dxa"/>
        <w:tblLayout w:type="fixed"/>
        <w:tblCellMar>
          <w:top w:w="0" w:type="dxa"/>
          <w:left w:w="108" w:type="dxa"/>
          <w:bottom w:w="0" w:type="dxa"/>
          <w:right w:w="108" w:type="dxa"/>
        </w:tblCellMar>
      </w:tblPr>
      <w:tblGrid>
        <w:gridCol w:w="2119"/>
        <w:gridCol w:w="1668"/>
        <w:gridCol w:w="2468"/>
        <w:gridCol w:w="2741"/>
      </w:tblGrid>
      <w:tr w14:paraId="59A96756">
        <w:tblPrEx>
          <w:tblCellMar>
            <w:top w:w="0" w:type="dxa"/>
            <w:left w:w="108" w:type="dxa"/>
            <w:bottom w:w="0" w:type="dxa"/>
            <w:right w:w="108" w:type="dxa"/>
          </w:tblCellMar>
        </w:tblPrEx>
        <w:trPr>
          <w:trHeight w:val="624"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0DDD410E">
            <w:pPr>
              <w:widowControl/>
              <w:suppressAutoHyphens/>
              <w:bidi w:val="0"/>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道路类型</w:t>
            </w:r>
          </w:p>
        </w:tc>
        <w:tc>
          <w:tcPr>
            <w:tcW w:w="1668" w:type="dxa"/>
            <w:tcBorders>
              <w:top w:val="single" w:color="auto" w:sz="4" w:space="0"/>
              <w:left w:val="nil"/>
              <w:bottom w:val="single" w:color="auto" w:sz="4" w:space="0"/>
              <w:right w:val="single" w:color="auto" w:sz="4" w:space="0"/>
            </w:tcBorders>
            <w:noWrap w:val="0"/>
            <w:vAlign w:val="center"/>
          </w:tcPr>
          <w:p w14:paraId="50CEB4C2">
            <w:pPr>
              <w:widowControl/>
              <w:suppressAutoHyphens/>
              <w:bidi w:val="0"/>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厚度（CM）</w:t>
            </w:r>
          </w:p>
        </w:tc>
        <w:tc>
          <w:tcPr>
            <w:tcW w:w="2468" w:type="dxa"/>
            <w:tcBorders>
              <w:top w:val="single" w:color="auto" w:sz="4" w:space="0"/>
              <w:left w:val="nil"/>
              <w:bottom w:val="single" w:color="auto" w:sz="4" w:space="0"/>
              <w:right w:val="single" w:color="auto" w:sz="4" w:space="0"/>
            </w:tcBorders>
            <w:noWrap w:val="0"/>
            <w:vAlign w:val="center"/>
          </w:tcPr>
          <w:p w14:paraId="675BFC17">
            <w:pPr>
              <w:widowControl/>
              <w:suppressAutoHyphens/>
              <w:bidi w:val="0"/>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补偿标准（元/㎡）</w:t>
            </w:r>
          </w:p>
        </w:tc>
        <w:tc>
          <w:tcPr>
            <w:tcW w:w="2741" w:type="dxa"/>
            <w:tcBorders>
              <w:top w:val="single" w:color="auto" w:sz="4" w:space="0"/>
              <w:left w:val="nil"/>
              <w:bottom w:val="single" w:color="auto" w:sz="4" w:space="0"/>
              <w:right w:val="single" w:color="auto" w:sz="4" w:space="0"/>
            </w:tcBorders>
            <w:noWrap w:val="0"/>
            <w:vAlign w:val="center"/>
          </w:tcPr>
          <w:p w14:paraId="218E5CBE">
            <w:pPr>
              <w:widowControl/>
              <w:suppressAutoHyphens/>
              <w:bidi w:val="0"/>
              <w:jc w:val="center"/>
              <w:rPr>
                <w:rFonts w:hint="default" w:ascii="Times New Roman" w:hAnsi="Times New Roman" w:eastAsia="方正黑体_GBK" w:cs="Times New Roman"/>
                <w:color w:val="auto"/>
                <w:kern w:val="0"/>
                <w:sz w:val="24"/>
                <w:szCs w:val="24"/>
              </w:rPr>
            </w:pPr>
            <w:r>
              <w:rPr>
                <w:rFonts w:hint="default" w:ascii="Times New Roman" w:hAnsi="Times New Roman" w:eastAsia="方正黑体_GBK" w:cs="Times New Roman"/>
                <w:color w:val="auto"/>
                <w:kern w:val="0"/>
                <w:sz w:val="24"/>
                <w:szCs w:val="24"/>
              </w:rPr>
              <w:t>备注</w:t>
            </w:r>
          </w:p>
        </w:tc>
      </w:tr>
      <w:tr w14:paraId="570F99D0">
        <w:tblPrEx>
          <w:tblCellMar>
            <w:top w:w="0" w:type="dxa"/>
            <w:left w:w="108" w:type="dxa"/>
            <w:bottom w:w="0" w:type="dxa"/>
            <w:right w:w="108" w:type="dxa"/>
          </w:tblCellMar>
        </w:tblPrEx>
        <w:trPr>
          <w:trHeight w:val="624" w:hRule="atLeast"/>
        </w:trPr>
        <w:tc>
          <w:tcPr>
            <w:tcW w:w="2119" w:type="dxa"/>
            <w:vMerge w:val="restart"/>
            <w:tcBorders>
              <w:top w:val="nil"/>
              <w:left w:val="single" w:color="auto" w:sz="4" w:space="0"/>
              <w:bottom w:val="single" w:color="auto" w:sz="4" w:space="0"/>
              <w:right w:val="single" w:color="auto" w:sz="4" w:space="0"/>
            </w:tcBorders>
            <w:noWrap w:val="0"/>
            <w:vAlign w:val="center"/>
          </w:tcPr>
          <w:p w14:paraId="4E8BE0BF">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混凝土路面</w:t>
            </w:r>
          </w:p>
        </w:tc>
        <w:tc>
          <w:tcPr>
            <w:tcW w:w="1668" w:type="dxa"/>
            <w:tcBorders>
              <w:top w:val="nil"/>
              <w:left w:val="nil"/>
              <w:bottom w:val="single" w:color="auto" w:sz="4" w:space="0"/>
              <w:right w:val="single" w:color="auto" w:sz="4" w:space="0"/>
            </w:tcBorders>
            <w:noWrap w:val="0"/>
            <w:vAlign w:val="center"/>
          </w:tcPr>
          <w:p w14:paraId="70A09773">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d≤20</w:t>
            </w:r>
          </w:p>
        </w:tc>
        <w:tc>
          <w:tcPr>
            <w:tcW w:w="2468" w:type="dxa"/>
            <w:tcBorders>
              <w:top w:val="nil"/>
              <w:left w:val="nil"/>
              <w:bottom w:val="single" w:color="auto" w:sz="4" w:space="0"/>
              <w:right w:val="single" w:color="auto" w:sz="4" w:space="0"/>
            </w:tcBorders>
            <w:noWrap w:val="0"/>
            <w:vAlign w:val="center"/>
          </w:tcPr>
          <w:p w14:paraId="526E1BD0">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123</w:t>
            </w:r>
          </w:p>
        </w:tc>
        <w:tc>
          <w:tcPr>
            <w:tcW w:w="2741" w:type="dxa"/>
            <w:vMerge w:val="restart"/>
            <w:tcBorders>
              <w:top w:val="nil"/>
              <w:left w:val="single" w:color="auto" w:sz="4" w:space="0"/>
              <w:bottom w:val="single" w:color="000000" w:sz="4" w:space="0"/>
              <w:right w:val="single" w:color="auto" w:sz="4" w:space="0"/>
            </w:tcBorders>
            <w:noWrap w:val="0"/>
            <w:vAlign w:val="center"/>
          </w:tcPr>
          <w:p w14:paraId="5AA9A30F">
            <w:pPr>
              <w:widowControl/>
              <w:suppressAutoHyphens/>
              <w:bidi w:val="0"/>
              <w:spacing w:line="400" w:lineRule="exact"/>
              <w:jc w:val="left"/>
              <w:rPr>
                <w:rFonts w:hint="default" w:ascii="Times New Roman" w:hAnsi="Times New Roman" w:eastAsia="仿宋_GB2312" w:cs="Times New Roman"/>
                <w:color w:val="auto"/>
                <w:kern w:val="0"/>
                <w:sz w:val="24"/>
                <w:szCs w:val="24"/>
              </w:rPr>
            </w:pPr>
            <w:r>
              <w:rPr>
                <w:rFonts w:hint="default" w:ascii="Times New Roman" w:hAnsi="Times New Roman" w:eastAsia="方正仿宋_GBK" w:cs="Times New Roman"/>
                <w:color w:val="auto"/>
                <w:kern w:val="0"/>
                <w:sz w:val="24"/>
                <w:szCs w:val="24"/>
              </w:rPr>
              <w:t>混凝土路面厚度超过25cm的，厚度每增加10cm，单价增加20%；其他路面厚度超过20cm的，厚度每增加10cm，单价增加35%.</w:t>
            </w:r>
          </w:p>
        </w:tc>
      </w:tr>
      <w:tr w14:paraId="73C624EC">
        <w:tblPrEx>
          <w:tblCellMar>
            <w:top w:w="0" w:type="dxa"/>
            <w:left w:w="108" w:type="dxa"/>
            <w:bottom w:w="0" w:type="dxa"/>
            <w:right w:w="108" w:type="dxa"/>
          </w:tblCellMar>
        </w:tblPrEx>
        <w:trPr>
          <w:trHeight w:val="624" w:hRule="atLeast"/>
        </w:trPr>
        <w:tc>
          <w:tcPr>
            <w:tcW w:w="2119" w:type="dxa"/>
            <w:vMerge w:val="continue"/>
            <w:tcBorders>
              <w:top w:val="nil"/>
              <w:left w:val="single" w:color="auto" w:sz="4" w:space="0"/>
              <w:bottom w:val="single" w:color="auto" w:sz="4" w:space="0"/>
              <w:right w:val="single" w:color="auto" w:sz="4" w:space="0"/>
            </w:tcBorders>
            <w:noWrap w:val="0"/>
            <w:vAlign w:val="center"/>
          </w:tcPr>
          <w:p w14:paraId="5727B1BA">
            <w:pPr>
              <w:widowControl/>
              <w:suppressAutoHyphens/>
              <w:bidi w:val="0"/>
              <w:rPr>
                <w:rFonts w:hint="default" w:ascii="Times New Roman" w:hAnsi="Times New Roman" w:eastAsia="方正仿宋_GBK" w:cs="Times New Roman"/>
                <w:color w:val="auto"/>
                <w:kern w:val="0"/>
                <w:sz w:val="24"/>
                <w:szCs w:val="24"/>
              </w:rPr>
            </w:pPr>
          </w:p>
        </w:tc>
        <w:tc>
          <w:tcPr>
            <w:tcW w:w="1668" w:type="dxa"/>
            <w:tcBorders>
              <w:top w:val="nil"/>
              <w:left w:val="nil"/>
              <w:bottom w:val="single" w:color="auto" w:sz="4" w:space="0"/>
              <w:right w:val="single" w:color="auto" w:sz="4" w:space="0"/>
            </w:tcBorders>
            <w:noWrap w:val="0"/>
            <w:vAlign w:val="center"/>
          </w:tcPr>
          <w:p w14:paraId="06B10E41">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20＜d≤25</w:t>
            </w:r>
          </w:p>
        </w:tc>
        <w:tc>
          <w:tcPr>
            <w:tcW w:w="2468" w:type="dxa"/>
            <w:tcBorders>
              <w:top w:val="nil"/>
              <w:left w:val="nil"/>
              <w:bottom w:val="single" w:color="auto" w:sz="4" w:space="0"/>
              <w:right w:val="single" w:color="auto" w:sz="4" w:space="0"/>
            </w:tcBorders>
            <w:noWrap w:val="0"/>
            <w:vAlign w:val="center"/>
          </w:tcPr>
          <w:p w14:paraId="0C5230E9">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137-164</w:t>
            </w:r>
          </w:p>
        </w:tc>
        <w:tc>
          <w:tcPr>
            <w:tcW w:w="2741" w:type="dxa"/>
            <w:vMerge w:val="continue"/>
            <w:tcBorders>
              <w:top w:val="nil"/>
              <w:left w:val="single" w:color="auto" w:sz="4" w:space="0"/>
              <w:bottom w:val="single" w:color="000000" w:sz="4" w:space="0"/>
              <w:right w:val="single" w:color="auto" w:sz="4" w:space="0"/>
            </w:tcBorders>
            <w:noWrap w:val="0"/>
            <w:vAlign w:val="center"/>
          </w:tcPr>
          <w:p w14:paraId="75BBE5A5">
            <w:pPr>
              <w:widowControl/>
              <w:suppressAutoHyphens/>
              <w:bidi w:val="0"/>
              <w:rPr>
                <w:rFonts w:hint="default" w:ascii="Times New Roman" w:hAnsi="Times New Roman" w:eastAsia="仿宋_GB2312" w:cs="Times New Roman"/>
                <w:color w:val="auto"/>
                <w:kern w:val="0"/>
                <w:sz w:val="28"/>
                <w:szCs w:val="28"/>
              </w:rPr>
            </w:pPr>
          </w:p>
        </w:tc>
      </w:tr>
      <w:tr w14:paraId="7FCC0621">
        <w:tblPrEx>
          <w:tblCellMar>
            <w:top w:w="0" w:type="dxa"/>
            <w:left w:w="108" w:type="dxa"/>
            <w:bottom w:w="0" w:type="dxa"/>
            <w:right w:w="108" w:type="dxa"/>
          </w:tblCellMar>
        </w:tblPrEx>
        <w:trPr>
          <w:trHeight w:val="624" w:hRule="atLeast"/>
        </w:trPr>
        <w:tc>
          <w:tcPr>
            <w:tcW w:w="2119" w:type="dxa"/>
            <w:tcBorders>
              <w:top w:val="nil"/>
              <w:left w:val="single" w:color="auto" w:sz="4" w:space="0"/>
              <w:bottom w:val="single" w:color="auto" w:sz="4" w:space="0"/>
              <w:right w:val="single" w:color="auto" w:sz="4" w:space="0"/>
            </w:tcBorders>
            <w:noWrap w:val="0"/>
            <w:vAlign w:val="center"/>
          </w:tcPr>
          <w:p w14:paraId="7CAC9FDE">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普通沥青路面</w:t>
            </w:r>
          </w:p>
        </w:tc>
        <w:tc>
          <w:tcPr>
            <w:tcW w:w="1668" w:type="dxa"/>
            <w:vMerge w:val="restart"/>
            <w:tcBorders>
              <w:top w:val="nil"/>
              <w:left w:val="single" w:color="auto" w:sz="4" w:space="0"/>
              <w:bottom w:val="single" w:color="000000" w:sz="4" w:space="0"/>
              <w:right w:val="single" w:color="auto" w:sz="4" w:space="0"/>
            </w:tcBorders>
            <w:noWrap w:val="0"/>
            <w:vAlign w:val="center"/>
          </w:tcPr>
          <w:p w14:paraId="7FB27474">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d≤20</w:t>
            </w:r>
          </w:p>
        </w:tc>
        <w:tc>
          <w:tcPr>
            <w:tcW w:w="2468" w:type="dxa"/>
            <w:tcBorders>
              <w:top w:val="nil"/>
              <w:left w:val="nil"/>
              <w:bottom w:val="single" w:color="auto" w:sz="4" w:space="0"/>
              <w:right w:val="single" w:color="auto" w:sz="4" w:space="0"/>
            </w:tcBorders>
            <w:noWrap w:val="0"/>
            <w:vAlign w:val="center"/>
          </w:tcPr>
          <w:p w14:paraId="519904C4">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139</w:t>
            </w:r>
          </w:p>
        </w:tc>
        <w:tc>
          <w:tcPr>
            <w:tcW w:w="2741" w:type="dxa"/>
            <w:vMerge w:val="continue"/>
            <w:tcBorders>
              <w:top w:val="nil"/>
              <w:left w:val="single" w:color="auto" w:sz="4" w:space="0"/>
              <w:bottom w:val="single" w:color="000000" w:sz="4" w:space="0"/>
              <w:right w:val="single" w:color="auto" w:sz="4" w:space="0"/>
            </w:tcBorders>
            <w:noWrap w:val="0"/>
            <w:vAlign w:val="center"/>
          </w:tcPr>
          <w:p w14:paraId="0E4604E0">
            <w:pPr>
              <w:widowControl/>
              <w:suppressAutoHyphens/>
              <w:bidi w:val="0"/>
              <w:rPr>
                <w:rFonts w:hint="default" w:ascii="Times New Roman" w:hAnsi="Times New Roman" w:eastAsia="仿宋_GB2312" w:cs="Times New Roman"/>
                <w:color w:val="auto"/>
                <w:kern w:val="0"/>
                <w:sz w:val="28"/>
                <w:szCs w:val="28"/>
              </w:rPr>
            </w:pPr>
          </w:p>
        </w:tc>
      </w:tr>
      <w:tr w14:paraId="6E68597E">
        <w:tblPrEx>
          <w:tblCellMar>
            <w:top w:w="0" w:type="dxa"/>
            <w:left w:w="108" w:type="dxa"/>
            <w:bottom w:w="0" w:type="dxa"/>
            <w:right w:w="108" w:type="dxa"/>
          </w:tblCellMar>
        </w:tblPrEx>
        <w:trPr>
          <w:trHeight w:val="624" w:hRule="atLeast"/>
        </w:trPr>
        <w:tc>
          <w:tcPr>
            <w:tcW w:w="2119" w:type="dxa"/>
            <w:tcBorders>
              <w:top w:val="nil"/>
              <w:left w:val="single" w:color="auto" w:sz="4" w:space="0"/>
              <w:bottom w:val="single" w:color="auto" w:sz="4" w:space="0"/>
              <w:right w:val="single" w:color="auto" w:sz="4" w:space="0"/>
            </w:tcBorders>
            <w:noWrap w:val="0"/>
            <w:vAlign w:val="center"/>
          </w:tcPr>
          <w:p w14:paraId="44C3954E">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碎石路面</w:t>
            </w:r>
          </w:p>
        </w:tc>
        <w:tc>
          <w:tcPr>
            <w:tcW w:w="1668" w:type="dxa"/>
            <w:vMerge w:val="continue"/>
            <w:tcBorders>
              <w:top w:val="nil"/>
              <w:left w:val="single" w:color="auto" w:sz="4" w:space="0"/>
              <w:bottom w:val="single" w:color="000000" w:sz="4" w:space="0"/>
              <w:right w:val="single" w:color="auto" w:sz="4" w:space="0"/>
            </w:tcBorders>
            <w:noWrap w:val="0"/>
            <w:vAlign w:val="center"/>
          </w:tcPr>
          <w:p w14:paraId="670715AC">
            <w:pPr>
              <w:widowControl/>
              <w:suppressAutoHyphens/>
              <w:bidi w:val="0"/>
              <w:rPr>
                <w:rFonts w:hint="default" w:ascii="Times New Roman" w:hAnsi="Times New Roman" w:eastAsia="方正仿宋_GBK" w:cs="Times New Roman"/>
                <w:color w:val="auto"/>
                <w:kern w:val="0"/>
                <w:sz w:val="24"/>
                <w:szCs w:val="24"/>
              </w:rPr>
            </w:pPr>
          </w:p>
        </w:tc>
        <w:tc>
          <w:tcPr>
            <w:tcW w:w="2468" w:type="dxa"/>
            <w:tcBorders>
              <w:top w:val="nil"/>
              <w:left w:val="nil"/>
              <w:bottom w:val="single" w:color="auto" w:sz="4" w:space="0"/>
              <w:right w:val="single" w:color="auto" w:sz="4" w:space="0"/>
            </w:tcBorders>
            <w:noWrap w:val="0"/>
            <w:vAlign w:val="center"/>
          </w:tcPr>
          <w:p w14:paraId="514A6189">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48</w:t>
            </w:r>
          </w:p>
        </w:tc>
        <w:tc>
          <w:tcPr>
            <w:tcW w:w="2741" w:type="dxa"/>
            <w:vMerge w:val="continue"/>
            <w:tcBorders>
              <w:top w:val="nil"/>
              <w:left w:val="single" w:color="auto" w:sz="4" w:space="0"/>
              <w:bottom w:val="single" w:color="000000" w:sz="4" w:space="0"/>
              <w:right w:val="single" w:color="auto" w:sz="4" w:space="0"/>
            </w:tcBorders>
            <w:noWrap w:val="0"/>
            <w:vAlign w:val="center"/>
          </w:tcPr>
          <w:p w14:paraId="66272EBB">
            <w:pPr>
              <w:widowControl/>
              <w:suppressAutoHyphens/>
              <w:bidi w:val="0"/>
              <w:rPr>
                <w:rFonts w:hint="default" w:ascii="Times New Roman" w:hAnsi="Times New Roman" w:eastAsia="仿宋_GB2312" w:cs="Times New Roman"/>
                <w:color w:val="auto"/>
                <w:kern w:val="0"/>
                <w:sz w:val="28"/>
                <w:szCs w:val="28"/>
              </w:rPr>
            </w:pPr>
          </w:p>
        </w:tc>
      </w:tr>
      <w:tr w14:paraId="3B988366">
        <w:tblPrEx>
          <w:tblCellMar>
            <w:top w:w="0" w:type="dxa"/>
            <w:left w:w="108" w:type="dxa"/>
            <w:bottom w:w="0" w:type="dxa"/>
            <w:right w:w="108" w:type="dxa"/>
          </w:tblCellMar>
        </w:tblPrEx>
        <w:trPr>
          <w:trHeight w:val="624" w:hRule="atLeast"/>
        </w:trPr>
        <w:tc>
          <w:tcPr>
            <w:tcW w:w="2119" w:type="dxa"/>
            <w:tcBorders>
              <w:top w:val="nil"/>
              <w:left w:val="single" w:color="auto" w:sz="4" w:space="0"/>
              <w:bottom w:val="single" w:color="auto" w:sz="4" w:space="0"/>
              <w:right w:val="single" w:color="auto" w:sz="4" w:space="0"/>
            </w:tcBorders>
            <w:noWrap w:val="0"/>
            <w:vAlign w:val="center"/>
          </w:tcPr>
          <w:p w14:paraId="2E7BCEEA">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夯土路面</w:t>
            </w:r>
          </w:p>
        </w:tc>
        <w:tc>
          <w:tcPr>
            <w:tcW w:w="1668" w:type="dxa"/>
            <w:vMerge w:val="continue"/>
            <w:tcBorders>
              <w:top w:val="nil"/>
              <w:left w:val="single" w:color="auto" w:sz="4" w:space="0"/>
              <w:bottom w:val="single" w:color="000000" w:sz="4" w:space="0"/>
              <w:right w:val="single" w:color="auto" w:sz="4" w:space="0"/>
            </w:tcBorders>
            <w:noWrap w:val="0"/>
            <w:vAlign w:val="center"/>
          </w:tcPr>
          <w:p w14:paraId="18DE9839">
            <w:pPr>
              <w:widowControl/>
              <w:suppressAutoHyphens/>
              <w:bidi w:val="0"/>
              <w:rPr>
                <w:rFonts w:hint="default" w:ascii="Times New Roman" w:hAnsi="Times New Roman" w:eastAsia="方正仿宋_GBK" w:cs="Times New Roman"/>
                <w:color w:val="auto"/>
                <w:kern w:val="0"/>
                <w:sz w:val="24"/>
                <w:szCs w:val="24"/>
              </w:rPr>
            </w:pPr>
          </w:p>
        </w:tc>
        <w:tc>
          <w:tcPr>
            <w:tcW w:w="2468" w:type="dxa"/>
            <w:tcBorders>
              <w:top w:val="nil"/>
              <w:left w:val="nil"/>
              <w:bottom w:val="single" w:color="auto" w:sz="4" w:space="0"/>
              <w:right w:val="single" w:color="auto" w:sz="4" w:space="0"/>
            </w:tcBorders>
            <w:noWrap w:val="0"/>
            <w:vAlign w:val="center"/>
          </w:tcPr>
          <w:p w14:paraId="7370B532">
            <w:pPr>
              <w:widowControl/>
              <w:suppressAutoHyphens/>
              <w:bidi w:val="0"/>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41</w:t>
            </w:r>
          </w:p>
        </w:tc>
        <w:tc>
          <w:tcPr>
            <w:tcW w:w="2741" w:type="dxa"/>
            <w:vMerge w:val="continue"/>
            <w:tcBorders>
              <w:top w:val="nil"/>
              <w:left w:val="single" w:color="auto" w:sz="4" w:space="0"/>
              <w:bottom w:val="single" w:color="000000" w:sz="4" w:space="0"/>
              <w:right w:val="single" w:color="auto" w:sz="4" w:space="0"/>
            </w:tcBorders>
            <w:noWrap w:val="0"/>
            <w:vAlign w:val="center"/>
          </w:tcPr>
          <w:p w14:paraId="2F5A8EBF">
            <w:pPr>
              <w:widowControl/>
              <w:suppressAutoHyphens/>
              <w:bidi w:val="0"/>
              <w:rPr>
                <w:rFonts w:hint="default" w:ascii="Times New Roman" w:hAnsi="Times New Roman" w:eastAsia="仿宋_GB2312" w:cs="Times New Roman"/>
                <w:color w:val="auto"/>
                <w:kern w:val="0"/>
                <w:sz w:val="28"/>
                <w:szCs w:val="28"/>
              </w:rPr>
            </w:pPr>
          </w:p>
        </w:tc>
      </w:tr>
    </w:tbl>
    <w:p w14:paraId="730AD3E7">
      <w:pPr>
        <w:suppressAutoHyphens/>
        <w:bidi w:val="0"/>
        <w:snapToGrid w:val="0"/>
        <w:spacing w:line="400" w:lineRule="exact"/>
        <w:ind w:firstLine="512" w:firstLineChars="200"/>
        <w:rPr>
          <w:rFonts w:hint="default" w:ascii="Times New Roman" w:hAnsi="Times New Roman" w:eastAsia="方正楷体_GBK" w:cs="Times New Roman"/>
          <w:color w:val="auto"/>
          <w:spacing w:val="8"/>
          <w:kern w:val="0"/>
          <w:sz w:val="24"/>
          <w:szCs w:val="24"/>
        </w:rPr>
      </w:pPr>
      <w:r>
        <w:rPr>
          <w:rFonts w:hint="default" w:ascii="Times New Roman" w:hAnsi="Times New Roman" w:eastAsia="方正楷体_GBK" w:cs="Times New Roman"/>
          <w:color w:val="auto"/>
          <w:spacing w:val="8"/>
          <w:kern w:val="0"/>
          <w:sz w:val="24"/>
          <w:szCs w:val="24"/>
        </w:rPr>
        <w:t>以上标准需要结合道路成新度确定补偿额。各类农村道路设计使用年限（设计基准期）为水泥路面20年，普通沥青路面8年，碎石与夯土路面5年。</w:t>
      </w:r>
    </w:p>
    <w:p w14:paraId="6DAB59FD">
      <w:pPr>
        <w:suppressAutoHyphens/>
        <w:bidi w:val="0"/>
        <w:snapToGrid w:val="0"/>
        <w:spacing w:line="400" w:lineRule="exact"/>
        <w:ind w:firstLine="672" w:firstLineChars="200"/>
        <w:rPr>
          <w:rFonts w:hint="default" w:ascii="Times New Roman" w:hAnsi="Times New Roman" w:eastAsia="楷体_GB2312" w:cs="Times New Roman"/>
          <w:bCs/>
          <w:color w:val="auto"/>
          <w:spacing w:val="8"/>
          <w:kern w:val="0"/>
          <w:sz w:val="32"/>
          <w:szCs w:val="32"/>
        </w:rPr>
      </w:pPr>
    </w:p>
    <w:p w14:paraId="0AD20448">
      <w:pPr>
        <w:suppressAutoHyphens/>
        <w:bidi w:val="0"/>
        <w:snapToGrid w:val="0"/>
        <w:spacing w:line="400" w:lineRule="exact"/>
        <w:ind w:firstLine="672" w:firstLineChars="200"/>
        <w:rPr>
          <w:rFonts w:hint="default" w:ascii="Times New Roman" w:hAnsi="Times New Roman" w:eastAsia="方正楷体_GBK" w:cs="Times New Roman"/>
          <w:b w:val="0"/>
          <w:bCs/>
          <w:color w:val="auto"/>
          <w:spacing w:val="8"/>
          <w:kern w:val="0"/>
          <w:sz w:val="24"/>
          <w:szCs w:val="24"/>
        </w:rPr>
      </w:pPr>
      <w:r>
        <w:rPr>
          <w:rFonts w:hint="default" w:ascii="Times New Roman" w:hAnsi="Times New Roman" w:eastAsia="方正楷体_GBK" w:cs="Times New Roman"/>
          <w:b w:val="0"/>
          <w:bCs/>
          <w:color w:val="auto"/>
          <w:spacing w:val="8"/>
          <w:kern w:val="0"/>
          <w:sz w:val="32"/>
          <w:szCs w:val="32"/>
        </w:rPr>
        <w:t>2</w:t>
      </w:r>
      <w:r>
        <w:rPr>
          <w:rFonts w:hint="default" w:ascii="Times New Roman" w:hAnsi="Times New Roman" w:eastAsia="方正楷体_GBK" w:cs="Times New Roman"/>
          <w:b w:val="0"/>
          <w:bCs/>
          <w:color w:val="auto"/>
          <w:spacing w:val="8"/>
          <w:kern w:val="0"/>
          <w:sz w:val="32"/>
          <w:szCs w:val="32"/>
          <w:lang w:val="en-US" w:eastAsia="zh-CN"/>
        </w:rPr>
        <w:t>.</w:t>
      </w:r>
      <w:r>
        <w:rPr>
          <w:rFonts w:hint="default" w:ascii="Times New Roman" w:hAnsi="Times New Roman" w:eastAsia="方正楷体_GBK" w:cs="Times New Roman"/>
          <w:b w:val="0"/>
          <w:bCs/>
          <w:color w:val="auto"/>
          <w:spacing w:val="8"/>
          <w:kern w:val="0"/>
          <w:sz w:val="32"/>
          <w:szCs w:val="32"/>
        </w:rPr>
        <w:t>人工沟渠补偿标准</w:t>
      </w:r>
    </w:p>
    <w:p w14:paraId="6362C3FE">
      <w:pPr>
        <w:widowControl/>
        <w:suppressAutoHyphens/>
        <w:bidi w:val="0"/>
        <w:snapToGrid w:val="0"/>
        <w:ind w:firstLine="640"/>
        <w:jc w:val="right"/>
        <w:rPr>
          <w:rFonts w:hint="default" w:ascii="Times New Roman" w:hAnsi="Times New Roman" w:eastAsia="楷体_GB2312" w:cs="Times New Roman"/>
          <w:b/>
          <w:bCs/>
          <w:color w:val="auto"/>
          <w:spacing w:val="8"/>
          <w:kern w:val="0"/>
          <w:sz w:val="24"/>
          <w:szCs w:val="24"/>
        </w:rPr>
      </w:pPr>
      <w:r>
        <w:rPr>
          <w:rFonts w:hint="default" w:ascii="Times New Roman" w:hAnsi="Times New Roman" w:eastAsia="楷体_GB2312" w:cs="Times New Roman"/>
          <w:color w:val="auto"/>
          <w:kern w:val="0"/>
          <w:sz w:val="24"/>
          <w:szCs w:val="24"/>
        </w:rPr>
        <w:t>单位：元/立方米</w:t>
      </w:r>
    </w:p>
    <w:tbl>
      <w:tblPr>
        <w:tblStyle w:val="11"/>
        <w:tblW w:w="89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2"/>
        <w:gridCol w:w="1276"/>
        <w:gridCol w:w="1377"/>
        <w:gridCol w:w="1554"/>
        <w:gridCol w:w="1473"/>
        <w:gridCol w:w="1350"/>
      </w:tblGrid>
      <w:tr w14:paraId="709A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952" w:type="dxa"/>
            <w:noWrap w:val="0"/>
            <w:vAlign w:val="center"/>
          </w:tcPr>
          <w:p w14:paraId="14BEFCC7">
            <w:pPr>
              <w:widowControl/>
              <w:suppressAutoHyphens/>
              <w:bidi w:val="0"/>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类型与规格（㎡）</w:t>
            </w:r>
          </w:p>
        </w:tc>
        <w:tc>
          <w:tcPr>
            <w:tcW w:w="1276" w:type="dxa"/>
            <w:noWrap w:val="0"/>
            <w:vAlign w:val="center"/>
          </w:tcPr>
          <w:p w14:paraId="3D4395C0">
            <w:pPr>
              <w:widowControl/>
              <w:suppressAutoHyphens/>
              <w:bidi w:val="0"/>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S≤0.1</w:t>
            </w:r>
          </w:p>
        </w:tc>
        <w:tc>
          <w:tcPr>
            <w:tcW w:w="1377" w:type="dxa"/>
            <w:noWrap w:val="0"/>
            <w:vAlign w:val="center"/>
          </w:tcPr>
          <w:p w14:paraId="3E3C8C87">
            <w:pPr>
              <w:widowControl/>
              <w:suppressAutoHyphens/>
              <w:bidi w:val="0"/>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0.1&lt;S≤0.3</w:t>
            </w:r>
          </w:p>
        </w:tc>
        <w:tc>
          <w:tcPr>
            <w:tcW w:w="1554" w:type="dxa"/>
            <w:noWrap w:val="0"/>
            <w:vAlign w:val="center"/>
          </w:tcPr>
          <w:p w14:paraId="3D307A29">
            <w:pPr>
              <w:widowControl/>
              <w:suppressAutoHyphens/>
              <w:bidi w:val="0"/>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0.3&lt;S≤0.5</w:t>
            </w:r>
          </w:p>
        </w:tc>
        <w:tc>
          <w:tcPr>
            <w:tcW w:w="1473" w:type="dxa"/>
            <w:noWrap w:val="0"/>
            <w:vAlign w:val="center"/>
          </w:tcPr>
          <w:p w14:paraId="09BFC0AB">
            <w:pPr>
              <w:widowControl/>
              <w:suppressAutoHyphens/>
              <w:bidi w:val="0"/>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0.5&lt;S≤0.7</w:t>
            </w:r>
          </w:p>
        </w:tc>
        <w:tc>
          <w:tcPr>
            <w:tcW w:w="1350" w:type="dxa"/>
            <w:noWrap w:val="0"/>
            <w:vAlign w:val="center"/>
          </w:tcPr>
          <w:p w14:paraId="701CE056">
            <w:pPr>
              <w:widowControl/>
              <w:suppressAutoHyphens/>
              <w:bidi w:val="0"/>
              <w:jc w:val="center"/>
              <w:rPr>
                <w:rFonts w:hint="default" w:ascii="Times New Roman" w:hAnsi="Times New Roman" w:eastAsia="黑体" w:cs="Times New Roman"/>
                <w:bCs/>
                <w:color w:val="auto"/>
                <w:kern w:val="0"/>
                <w:sz w:val="24"/>
                <w:szCs w:val="24"/>
              </w:rPr>
            </w:pPr>
            <w:r>
              <w:rPr>
                <w:rFonts w:hint="default" w:ascii="Times New Roman" w:hAnsi="Times New Roman" w:eastAsia="黑体" w:cs="Times New Roman"/>
                <w:bCs/>
                <w:color w:val="auto"/>
                <w:kern w:val="0"/>
                <w:sz w:val="24"/>
                <w:szCs w:val="24"/>
              </w:rPr>
              <w:t>S&gt;0.7</w:t>
            </w:r>
          </w:p>
        </w:tc>
      </w:tr>
      <w:tr w14:paraId="072C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952" w:type="dxa"/>
            <w:noWrap w:val="0"/>
            <w:vAlign w:val="center"/>
          </w:tcPr>
          <w:p w14:paraId="3C263CBB">
            <w:pPr>
              <w:widowControl/>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毛石砌体结构</w:t>
            </w:r>
          </w:p>
        </w:tc>
        <w:tc>
          <w:tcPr>
            <w:tcW w:w="1276" w:type="dxa"/>
            <w:noWrap w:val="0"/>
            <w:vAlign w:val="center"/>
          </w:tcPr>
          <w:p w14:paraId="515423CC">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231</w:t>
            </w:r>
          </w:p>
        </w:tc>
        <w:tc>
          <w:tcPr>
            <w:tcW w:w="1377" w:type="dxa"/>
            <w:noWrap w:val="0"/>
            <w:vAlign w:val="center"/>
          </w:tcPr>
          <w:p w14:paraId="1FE088E2">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263</w:t>
            </w:r>
          </w:p>
        </w:tc>
        <w:tc>
          <w:tcPr>
            <w:tcW w:w="1554" w:type="dxa"/>
            <w:noWrap w:val="0"/>
            <w:vAlign w:val="center"/>
          </w:tcPr>
          <w:p w14:paraId="321ADD0E">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284</w:t>
            </w:r>
          </w:p>
        </w:tc>
        <w:tc>
          <w:tcPr>
            <w:tcW w:w="1473" w:type="dxa"/>
            <w:noWrap w:val="0"/>
            <w:vAlign w:val="center"/>
          </w:tcPr>
          <w:p w14:paraId="6A6F25BA">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294</w:t>
            </w:r>
          </w:p>
        </w:tc>
        <w:tc>
          <w:tcPr>
            <w:tcW w:w="1350" w:type="dxa"/>
            <w:noWrap w:val="0"/>
            <w:vAlign w:val="center"/>
          </w:tcPr>
          <w:p w14:paraId="089E49B8">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326</w:t>
            </w:r>
          </w:p>
        </w:tc>
      </w:tr>
      <w:tr w14:paraId="711D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952" w:type="dxa"/>
            <w:noWrap w:val="0"/>
            <w:vAlign w:val="center"/>
          </w:tcPr>
          <w:p w14:paraId="6231BED8">
            <w:pPr>
              <w:widowControl/>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砖砌体</w:t>
            </w:r>
          </w:p>
        </w:tc>
        <w:tc>
          <w:tcPr>
            <w:tcW w:w="1276" w:type="dxa"/>
            <w:noWrap w:val="0"/>
            <w:vAlign w:val="center"/>
          </w:tcPr>
          <w:p w14:paraId="4F878FA7">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273</w:t>
            </w:r>
          </w:p>
        </w:tc>
        <w:tc>
          <w:tcPr>
            <w:tcW w:w="1377" w:type="dxa"/>
            <w:noWrap w:val="0"/>
            <w:vAlign w:val="center"/>
          </w:tcPr>
          <w:p w14:paraId="7E332EFC">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315</w:t>
            </w:r>
          </w:p>
        </w:tc>
        <w:tc>
          <w:tcPr>
            <w:tcW w:w="1554" w:type="dxa"/>
            <w:noWrap w:val="0"/>
            <w:vAlign w:val="center"/>
          </w:tcPr>
          <w:p w14:paraId="37CD5599">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326</w:t>
            </w:r>
          </w:p>
        </w:tc>
        <w:tc>
          <w:tcPr>
            <w:tcW w:w="1473" w:type="dxa"/>
            <w:noWrap w:val="0"/>
            <w:vAlign w:val="center"/>
          </w:tcPr>
          <w:p w14:paraId="4E9FD511">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336</w:t>
            </w:r>
          </w:p>
        </w:tc>
        <w:tc>
          <w:tcPr>
            <w:tcW w:w="1350" w:type="dxa"/>
            <w:noWrap w:val="0"/>
            <w:vAlign w:val="center"/>
          </w:tcPr>
          <w:p w14:paraId="598805BE">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347</w:t>
            </w:r>
          </w:p>
        </w:tc>
      </w:tr>
      <w:tr w14:paraId="73F41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952" w:type="dxa"/>
            <w:noWrap w:val="0"/>
            <w:vAlign w:val="center"/>
          </w:tcPr>
          <w:p w14:paraId="1D911B27">
            <w:pPr>
              <w:widowControl/>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夯土结构</w:t>
            </w:r>
          </w:p>
        </w:tc>
        <w:tc>
          <w:tcPr>
            <w:tcW w:w="1276" w:type="dxa"/>
            <w:noWrap w:val="0"/>
            <w:vAlign w:val="center"/>
          </w:tcPr>
          <w:p w14:paraId="0E8C14E6">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23</w:t>
            </w:r>
          </w:p>
        </w:tc>
        <w:tc>
          <w:tcPr>
            <w:tcW w:w="1377" w:type="dxa"/>
            <w:noWrap w:val="0"/>
            <w:vAlign w:val="center"/>
          </w:tcPr>
          <w:p w14:paraId="5CF487F2">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45</w:t>
            </w:r>
          </w:p>
        </w:tc>
        <w:tc>
          <w:tcPr>
            <w:tcW w:w="1554" w:type="dxa"/>
            <w:noWrap w:val="0"/>
            <w:vAlign w:val="center"/>
          </w:tcPr>
          <w:p w14:paraId="48FFD983">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49</w:t>
            </w:r>
          </w:p>
        </w:tc>
        <w:tc>
          <w:tcPr>
            <w:tcW w:w="1473" w:type="dxa"/>
            <w:noWrap w:val="0"/>
            <w:vAlign w:val="center"/>
          </w:tcPr>
          <w:p w14:paraId="27D371C6">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49</w:t>
            </w:r>
          </w:p>
        </w:tc>
        <w:tc>
          <w:tcPr>
            <w:tcW w:w="1350" w:type="dxa"/>
            <w:noWrap w:val="0"/>
            <w:vAlign w:val="center"/>
          </w:tcPr>
          <w:p w14:paraId="4026CCC9">
            <w:pPr>
              <w:suppressAutoHyphens/>
              <w:bidi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49</w:t>
            </w:r>
          </w:p>
        </w:tc>
      </w:tr>
    </w:tbl>
    <w:p w14:paraId="2D3A976E">
      <w:pPr>
        <w:suppressAutoHyphens/>
        <w:bidi w:val="0"/>
        <w:snapToGrid w:val="0"/>
        <w:spacing w:line="400" w:lineRule="exact"/>
        <w:ind w:firstLine="512" w:firstLineChars="200"/>
        <w:rPr>
          <w:rFonts w:hint="default" w:ascii="Times New Roman" w:hAnsi="Times New Roman" w:eastAsia="楷体_GB2312" w:cs="Times New Roman"/>
          <w:color w:val="auto"/>
          <w:spacing w:val="8"/>
          <w:kern w:val="0"/>
          <w:sz w:val="24"/>
          <w:szCs w:val="24"/>
        </w:rPr>
      </w:pPr>
      <w:r>
        <w:rPr>
          <w:rFonts w:hint="default" w:ascii="Times New Roman" w:hAnsi="Times New Roman" w:eastAsia="楷体_GB2312" w:cs="Times New Roman"/>
          <w:color w:val="auto"/>
          <w:spacing w:val="8"/>
          <w:kern w:val="0"/>
          <w:sz w:val="24"/>
          <w:szCs w:val="24"/>
        </w:rPr>
        <w:t>S为过流面积，单位平方米。补偿以沟渠内空体积计量补偿。以上标准需要结合沟渠成新度确定补偿额。农村沟渠设计使用年限为砌体结构20年，夯土结构5年。</w:t>
      </w:r>
    </w:p>
    <w:p w14:paraId="15DF7F46">
      <w:pPr>
        <w:suppressAutoHyphens/>
        <w:bidi w:val="0"/>
        <w:snapToGrid w:val="0"/>
        <w:spacing w:line="400" w:lineRule="exact"/>
        <w:ind w:firstLine="640" w:firstLineChars="200"/>
        <w:rPr>
          <w:rFonts w:hint="default" w:ascii="Times New Roman" w:hAnsi="Times New Roman" w:eastAsia="楷体_GB2312" w:cs="Times New Roman"/>
          <w:color w:val="auto"/>
          <w:kern w:val="0"/>
          <w:sz w:val="32"/>
          <w:szCs w:val="32"/>
        </w:rPr>
      </w:pPr>
    </w:p>
    <w:p w14:paraId="279F84EE">
      <w:pPr>
        <w:suppressAutoHyphens/>
        <w:bidi w:val="0"/>
        <w:snapToGrid w:val="0"/>
        <w:spacing w:line="400" w:lineRule="exact"/>
        <w:ind w:firstLine="672" w:firstLineChars="200"/>
        <w:rPr>
          <w:rFonts w:hint="default" w:ascii="Times New Roman" w:hAnsi="Times New Roman" w:eastAsia="方正楷体_GBK" w:cs="Times New Roman"/>
          <w:bCs/>
          <w:color w:val="auto"/>
          <w:spacing w:val="8"/>
          <w:kern w:val="0"/>
          <w:sz w:val="32"/>
          <w:szCs w:val="32"/>
        </w:rPr>
      </w:pPr>
      <w:r>
        <w:rPr>
          <w:rFonts w:hint="default" w:ascii="Times New Roman" w:hAnsi="Times New Roman" w:eastAsia="方正楷体_GBK" w:cs="Times New Roman"/>
          <w:bCs/>
          <w:color w:val="auto"/>
          <w:spacing w:val="8"/>
          <w:kern w:val="0"/>
          <w:sz w:val="32"/>
          <w:szCs w:val="32"/>
        </w:rPr>
        <w:t>3</w:t>
      </w:r>
      <w:r>
        <w:rPr>
          <w:rFonts w:hint="default" w:ascii="Times New Roman" w:hAnsi="Times New Roman" w:eastAsia="方正楷体_GBK" w:cs="Times New Roman"/>
          <w:bCs/>
          <w:color w:val="auto"/>
          <w:spacing w:val="8"/>
          <w:kern w:val="0"/>
          <w:sz w:val="32"/>
          <w:szCs w:val="32"/>
          <w:lang w:val="en-US" w:eastAsia="zh-CN"/>
        </w:rPr>
        <w:t>.</w:t>
      </w:r>
      <w:r>
        <w:rPr>
          <w:rFonts w:hint="default" w:ascii="Times New Roman" w:hAnsi="Times New Roman" w:eastAsia="方正楷体_GBK" w:cs="Times New Roman"/>
          <w:bCs/>
          <w:color w:val="auto"/>
          <w:spacing w:val="8"/>
          <w:kern w:val="0"/>
          <w:sz w:val="32"/>
          <w:szCs w:val="32"/>
        </w:rPr>
        <w:t>其他</w:t>
      </w:r>
    </w:p>
    <w:p w14:paraId="5971E8C9">
      <w:pPr>
        <w:suppressAutoHyphens/>
        <w:bidi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（1）普通塘坝、小水坝：土坝按55元/立</w:t>
      </w:r>
      <w:bookmarkStart w:id="2" w:name="_GoBack"/>
      <w:r>
        <w:rPr>
          <w:rFonts w:hint="default" w:ascii="Times New Roman" w:hAnsi="Times New Roman" w:eastAsia="方正仿宋_GBK" w:cs="Times New Roman"/>
          <w:color w:val="auto"/>
          <w:kern w:val="0"/>
          <w:sz w:val="32"/>
          <w:szCs w:val="32"/>
        </w:rPr>
        <w:t>方米</w:t>
      </w:r>
      <w:bookmarkEnd w:id="2"/>
      <w:r>
        <w:rPr>
          <w:rFonts w:hint="default" w:ascii="Times New Roman" w:hAnsi="Times New Roman" w:eastAsia="方正仿宋_GBK" w:cs="Times New Roman"/>
          <w:color w:val="auto"/>
          <w:kern w:val="0"/>
          <w:sz w:val="32"/>
          <w:szCs w:val="32"/>
        </w:rPr>
        <w:t>，浆砌石坝按383元/立方米，混砼石坝按547元/立方米，结合成新度予以补偿。</w:t>
      </w:r>
    </w:p>
    <w:p w14:paraId="2E013316">
      <w:pPr>
        <w:suppressAutoHyphens/>
        <w:bidi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（2）蔬菜大棚：以投影面积计算，钢架大棚按27元/平方米，水泥骨架大棚按21元/平方米，其他按14元/平方米，结合成新度予以补偿。</w:t>
      </w:r>
    </w:p>
    <w:p w14:paraId="5454CF40">
      <w:pPr>
        <w:suppressAutoHyphens/>
        <w:bidi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（3）坟墓迁移费：一墓一棺的土棺按4400元/棺，混凝土棺按5500元/棺予以补偿；单穴墓内每增加一棺增加2200元/棺。</w:t>
      </w:r>
    </w:p>
    <w:p w14:paraId="48A528BB">
      <w:pPr>
        <w:suppressAutoHyphens/>
        <w:bidi w:val="0"/>
        <w:snapToGrid w:val="0"/>
        <w:spacing w:line="560" w:lineRule="exact"/>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kern w:val="0"/>
          <w:sz w:val="32"/>
          <w:szCs w:val="32"/>
        </w:rPr>
        <w:t>（4）农电设施、专业水利设施、砖瓦窑体等其他附属物、构筑物可申请专项评估确定补偿额</w:t>
      </w:r>
      <w:r>
        <w:rPr>
          <w:rFonts w:hint="default" w:ascii="Times New Roman" w:hAnsi="Times New Roman" w:eastAsia="方正仿宋_GBK" w:cs="Times New Roman"/>
          <w:color w:val="auto"/>
          <w:kern w:val="0"/>
          <w:sz w:val="32"/>
          <w:szCs w:val="32"/>
          <w:lang w:eastAsia="zh-CN"/>
        </w:rPr>
        <w:t>。</w:t>
      </w:r>
    </w:p>
    <w:p w14:paraId="07CA5CDD">
      <w:pPr>
        <w:tabs>
          <w:tab w:val="left" w:pos="2422"/>
        </w:tabs>
        <w:suppressAutoHyphens/>
        <w:bidi w:val="0"/>
        <w:jc w:val="left"/>
        <w:rPr>
          <w:rFonts w:hint="default" w:ascii="Times New Roman" w:hAnsi="Times New Roman" w:cs="Times New Roman"/>
          <w:lang w:val="en-US" w:eastAsia="zh-CN"/>
        </w:rPr>
      </w:pPr>
    </w:p>
    <w:p w14:paraId="7F9A460C">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5321EE88">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1DD13B02">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5EC91DE7">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5E211814">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6F88F9C5">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69EB4926">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7EEE1588">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3BB1EDD1">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p w14:paraId="6861034E">
      <w:pPr>
        <w:keepNext w:val="0"/>
        <w:keepLines w:val="0"/>
        <w:pageBreakBefore w:val="0"/>
        <w:widowControl/>
        <w:suppressAutoHyphen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spacing w:val="0"/>
          <w:sz w:val="32"/>
          <w:szCs w:val="32"/>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5CE7">
    <w:pPr>
      <w:pStyle w:val="7"/>
      <w:ind w:left="4788" w:leftChars="2280" w:firstLine="6400" w:firstLineChars="2000"/>
      <w:rPr>
        <w:rFonts w:hint="eastAsia" w:eastAsia="仿宋"/>
        <w:sz w:val="32"/>
        <w:szCs w:val="48"/>
      </w:rPr>
    </w:pPr>
  </w:p>
  <w:p w14:paraId="44D86D49">
    <w:pPr>
      <w:pStyle w:val="7"/>
      <w:ind w:left="4788" w:leftChars="2280" w:firstLine="6400" w:firstLineChars="2000"/>
      <w:rPr>
        <w:rFonts w:hint="eastAsia" w:eastAsia="仿宋"/>
        <w:sz w:val="32"/>
        <w:szCs w:val="48"/>
      </w:rPr>
    </w:pPr>
  </w:p>
  <w:p w14:paraId="5B818446">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3702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2336;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14:paraId="07B3702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D0FA4CB">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1312;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 xml:space="preserve">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077D">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jlkNjAzNGFiMzljOWM5NjQ3NmFlNzUyZTVjOTMifQ=="/>
  </w:docVars>
  <w:rsids>
    <w:rsidRoot w:val="00172A27"/>
    <w:rsid w:val="00172A27"/>
    <w:rsid w:val="001A244C"/>
    <w:rsid w:val="00C21F50"/>
    <w:rsid w:val="00C614A6"/>
    <w:rsid w:val="019E71BD"/>
    <w:rsid w:val="04B679C3"/>
    <w:rsid w:val="080F63D8"/>
    <w:rsid w:val="09341458"/>
    <w:rsid w:val="0B0912D7"/>
    <w:rsid w:val="0F8978E1"/>
    <w:rsid w:val="12773B39"/>
    <w:rsid w:val="1502507C"/>
    <w:rsid w:val="152D2DCA"/>
    <w:rsid w:val="168F489A"/>
    <w:rsid w:val="18F91799"/>
    <w:rsid w:val="1CCB2019"/>
    <w:rsid w:val="1DEC284C"/>
    <w:rsid w:val="1E6523AC"/>
    <w:rsid w:val="22436419"/>
    <w:rsid w:val="22440422"/>
    <w:rsid w:val="27077982"/>
    <w:rsid w:val="2A397A8E"/>
    <w:rsid w:val="2D7607E3"/>
    <w:rsid w:val="31A15F24"/>
    <w:rsid w:val="395347B5"/>
    <w:rsid w:val="39A232A0"/>
    <w:rsid w:val="39E745AA"/>
    <w:rsid w:val="3B5A6BBB"/>
    <w:rsid w:val="3EDA13A6"/>
    <w:rsid w:val="3FBF015B"/>
    <w:rsid w:val="407C58F3"/>
    <w:rsid w:val="42992158"/>
    <w:rsid w:val="42F058B7"/>
    <w:rsid w:val="436109F6"/>
    <w:rsid w:val="441A38D4"/>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B6A499F"/>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Plain Text"/>
    <w:basedOn w:val="1"/>
    <w:autoRedefine/>
    <w:qFormat/>
    <w:uiPriority w:val="0"/>
    <w:rPr>
      <w:rFonts w:ascii="宋体" w:hAnsi="Courier New" w:cs="Courier New"/>
      <w:szCs w:val="21"/>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character" w:customStyle="1" w:styleId="15">
    <w:name w:val="批注框文本 Char"/>
    <w:basedOn w:val="12"/>
    <w:link w:val="5"/>
    <w:autoRedefine/>
    <w:qFormat/>
    <w:uiPriority w:val="0"/>
    <w:rPr>
      <w:rFonts w:asciiTheme="minorHAnsi" w:hAnsiTheme="minorHAnsi" w:eastAsiaTheme="minorEastAsia" w:cstheme="minorBidi"/>
      <w:kern w:val="2"/>
      <w:sz w:val="18"/>
      <w:szCs w:val="18"/>
    </w:rPr>
  </w:style>
  <w:style w:type="paragraph" w:customStyle="1" w:styleId="16">
    <w:name w:val="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7566</Words>
  <Characters>8174</Characters>
  <Lines>5</Lines>
  <Paragraphs>1</Paragraphs>
  <TotalTime>28</TotalTime>
  <ScaleCrop>false</ScaleCrop>
  <LinksUpToDate>false</LinksUpToDate>
  <CharactersWithSpaces>8215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休宁县县政府办收文员</cp:lastModifiedBy>
  <cp:lastPrinted>2021-10-28T03:30:00Z</cp:lastPrinted>
  <dcterms:modified xsi:type="dcterms:W3CDTF">2025-06-26T06:52:17Z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DE5D9B41063D4E72B09ECDAFFEFDE0AA_13</vt:lpwstr>
  </property>
</Properties>
</file>