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90" w:lineRule="exact"/>
        <w:rPr>
          <w:rFonts w:hint="default" w:ascii="Times New Roman" w:hAnsi="Times New Roman" w:eastAsia="方正仿宋_GBK"/>
          <w:sz w:val="32"/>
          <w:szCs w:val="32"/>
        </w:rPr>
      </w:pPr>
    </w:p>
    <w:p>
      <w:pPr>
        <w:pStyle w:val="9"/>
        <w:widowControl/>
        <w:spacing w:beforeAutospacing="0" w:afterAutospacing="0" w:line="590" w:lineRule="exact"/>
        <w:ind w:firstLine="0" w:firstLineChars="0"/>
        <w:rPr>
          <w:color w:val="333333"/>
          <w:sz w:val="32"/>
          <w:szCs w:val="32"/>
          <w:shd w:val="clear" w:color="auto" w:fill="FFFFFF"/>
        </w:rPr>
      </w:pPr>
    </w:p>
    <w:p>
      <w:pPr>
        <w:pStyle w:val="3"/>
        <w:widowControl/>
        <w:spacing w:line="590" w:lineRule="exact"/>
        <w:rPr>
          <w:rFonts w:hint="default" w:ascii="方正小标宋_GBK" w:hAnsi="方正小标宋_GBK" w:cs="方正小标宋_GBK"/>
          <w:color w:val="333333"/>
          <w:szCs w:val="44"/>
          <w:shd w:val="clear" w:color="auto" w:fill="FFFFFF"/>
        </w:rPr>
      </w:pPr>
      <w:r>
        <w:rPr>
          <w:rFonts w:ascii="方正小标宋_GBK" w:hAnsi="方正小标宋_GBK" w:cs="方正小标宋_GBK"/>
          <w:color w:val="333333"/>
          <w:szCs w:val="44"/>
          <w:shd w:val="clear" w:color="auto" w:fill="FFFFFF"/>
        </w:rPr>
        <w:t>关于印发《安徽省工伤保险费率</w:t>
      </w:r>
    </w:p>
    <w:p>
      <w:pPr>
        <w:pStyle w:val="3"/>
        <w:widowControl/>
        <w:spacing w:line="590" w:lineRule="exact"/>
        <w:rPr>
          <w:rFonts w:hint="default" w:ascii="方正小标宋_GBK" w:hAnsi="方正小标宋_GBK" w:cs="方正小标宋_GBK"/>
          <w:color w:val="333333"/>
          <w:szCs w:val="44"/>
        </w:rPr>
      </w:pPr>
      <w:r>
        <w:rPr>
          <w:rFonts w:ascii="方正小标宋_GBK" w:hAnsi="方正小标宋_GBK" w:cs="方正小标宋_GBK"/>
          <w:color w:val="333333"/>
          <w:szCs w:val="44"/>
          <w:shd w:val="clear" w:color="auto" w:fill="FFFFFF"/>
        </w:rPr>
        <w:t>管理办法》的通知</w:t>
      </w:r>
    </w:p>
    <w:p>
      <w:pPr>
        <w:pStyle w:val="9"/>
        <w:widowControl/>
        <w:spacing w:beforeAutospacing="0" w:afterAutospacing="0" w:line="590" w:lineRule="exact"/>
        <w:ind w:firstLine="0" w:firstLineChars="0"/>
        <w:jc w:val="center"/>
        <w:rPr>
          <w:color w:val="333333"/>
          <w:sz w:val="32"/>
          <w:szCs w:val="32"/>
          <w:shd w:val="clear" w:color="auto" w:fill="FFFFFF"/>
        </w:rPr>
      </w:pPr>
      <w:r>
        <w:rPr>
          <w:color w:val="333333"/>
          <w:sz w:val="32"/>
          <w:szCs w:val="32"/>
          <w:shd w:val="clear" w:color="auto" w:fill="FFFFFF"/>
        </w:rPr>
        <w:t>皖人社发〔2024〕17号</w:t>
      </w:r>
    </w:p>
    <w:p>
      <w:pPr>
        <w:pStyle w:val="9"/>
        <w:widowControl/>
        <w:spacing w:beforeAutospacing="0" w:afterAutospacing="0" w:line="590" w:lineRule="exact"/>
        <w:ind w:firstLine="0" w:firstLineChars="0"/>
        <w:rPr>
          <w:color w:val="333333"/>
          <w:sz w:val="32"/>
          <w:szCs w:val="32"/>
          <w:shd w:val="clear" w:color="auto" w:fill="FFFFFF"/>
        </w:rPr>
      </w:pPr>
    </w:p>
    <w:p>
      <w:pPr>
        <w:pStyle w:val="9"/>
        <w:widowControl/>
        <w:spacing w:beforeAutospacing="0" w:afterAutospacing="0" w:line="590" w:lineRule="exact"/>
        <w:ind w:firstLine="0" w:firstLineChars="0"/>
        <w:jc w:val="both"/>
        <w:rPr>
          <w:color w:val="333333"/>
          <w:sz w:val="32"/>
          <w:szCs w:val="32"/>
          <w:shd w:val="clear" w:color="auto" w:fill="FFFFFF"/>
        </w:rPr>
      </w:pPr>
      <w:r>
        <w:rPr>
          <w:color w:val="333333"/>
          <w:sz w:val="32"/>
          <w:szCs w:val="32"/>
          <w:shd w:val="clear" w:color="auto" w:fill="FFFFFF"/>
        </w:rPr>
        <w:t>各市人力资源社会保障局、财政局、税务局</w:t>
      </w:r>
      <w:r>
        <w:rPr>
          <w:color w:val="000000"/>
          <w:sz w:val="32"/>
          <w:szCs w:val="32"/>
          <w:shd w:val="clear" w:color="auto" w:fill="FFFFFF"/>
        </w:rPr>
        <w:t>，江北、江南产业</w:t>
      </w:r>
      <w:r>
        <w:rPr>
          <w:color w:val="333333"/>
          <w:sz w:val="32"/>
          <w:szCs w:val="32"/>
          <w:shd w:val="clear" w:color="auto" w:fill="FFFFFF"/>
        </w:rPr>
        <w:t>集中区税务局，省税务局第三税务分局：</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经省人民政府同意，现将《安徽省工伤保险费率管理办法》印发给你们，请认真贯彻执行。</w:t>
      </w:r>
    </w:p>
    <w:p>
      <w:pPr>
        <w:pStyle w:val="9"/>
        <w:widowControl/>
        <w:spacing w:beforeAutospacing="0" w:afterAutospacing="0" w:line="590" w:lineRule="exact"/>
        <w:ind w:firstLine="640"/>
        <w:jc w:val="right"/>
        <w:rPr>
          <w:color w:val="333333"/>
          <w:sz w:val="32"/>
          <w:szCs w:val="32"/>
        </w:rPr>
      </w:pPr>
      <w:r>
        <w:rPr>
          <w:color w:val="333333"/>
          <w:sz w:val="32"/>
          <w:szCs w:val="32"/>
          <w:shd w:val="clear" w:color="auto" w:fill="FFFFFF"/>
        </w:rPr>
        <w:t> </w:t>
      </w:r>
    </w:p>
    <w:p>
      <w:pPr>
        <w:pStyle w:val="9"/>
        <w:widowControl/>
        <w:spacing w:beforeAutospacing="0" w:afterAutospacing="0" w:line="590" w:lineRule="exact"/>
        <w:ind w:firstLine="640"/>
        <w:jc w:val="right"/>
        <w:rPr>
          <w:color w:val="333333"/>
          <w:sz w:val="32"/>
          <w:szCs w:val="32"/>
        </w:rPr>
      </w:pPr>
      <w:r>
        <w:rPr>
          <w:color w:val="333333"/>
          <w:sz w:val="32"/>
          <w:szCs w:val="32"/>
          <w:shd w:val="clear" w:color="auto" w:fill="FFFFFF"/>
        </w:rPr>
        <w:t> </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 </w:t>
      </w:r>
    </w:p>
    <w:p>
      <w:pPr>
        <w:pStyle w:val="9"/>
        <w:widowControl/>
        <w:spacing w:beforeAutospacing="0" w:afterAutospacing="0" w:line="590" w:lineRule="exact"/>
        <w:ind w:right="640" w:rightChars="200" w:firstLine="0" w:firstLineChars="0"/>
        <w:jc w:val="right"/>
        <w:rPr>
          <w:color w:val="333333"/>
          <w:sz w:val="32"/>
          <w:szCs w:val="32"/>
          <w:shd w:val="clear" w:color="auto" w:fill="FFFFFF"/>
        </w:rPr>
      </w:pPr>
      <w:r>
        <w:rPr>
          <w:color w:val="333333"/>
          <w:sz w:val="32"/>
          <w:szCs w:val="32"/>
          <w:shd w:val="clear" w:color="auto" w:fill="FFFFFF"/>
        </w:rPr>
        <w:t>安徽省人力资源和社会保障厅       安徽省财政厅</w:t>
      </w:r>
    </w:p>
    <w:p>
      <w:pPr>
        <w:pStyle w:val="9"/>
        <w:widowControl/>
        <w:spacing w:beforeAutospacing="0" w:afterAutospacing="0" w:line="590" w:lineRule="exact"/>
        <w:ind w:right="640" w:rightChars="200" w:firstLine="0" w:firstLineChars="0"/>
        <w:jc w:val="right"/>
        <w:rPr>
          <w:color w:val="333333"/>
          <w:sz w:val="32"/>
          <w:szCs w:val="32"/>
        </w:rPr>
      </w:pPr>
      <w:r>
        <w:rPr>
          <w:color w:val="333333"/>
          <w:sz w:val="32"/>
          <w:szCs w:val="32"/>
          <w:shd w:val="clear" w:color="auto" w:fill="FFFFFF"/>
        </w:rPr>
        <w:t> 国家税务总局安徽省税务局</w:t>
      </w:r>
    </w:p>
    <w:p>
      <w:pPr>
        <w:pStyle w:val="9"/>
        <w:widowControl/>
        <w:spacing w:beforeAutospacing="0" w:afterAutospacing="0" w:line="590" w:lineRule="exact"/>
        <w:ind w:right="1120" w:rightChars="350" w:firstLine="0" w:firstLineChars="0"/>
        <w:jc w:val="right"/>
        <w:rPr>
          <w:color w:val="333333"/>
          <w:sz w:val="32"/>
          <w:szCs w:val="32"/>
        </w:rPr>
      </w:pPr>
      <w:r>
        <w:rPr>
          <w:color w:val="333333"/>
          <w:sz w:val="32"/>
          <w:szCs w:val="32"/>
          <w:shd w:val="clear" w:color="auto" w:fill="FFFFFF"/>
        </w:rPr>
        <w:t> 2024年12月30日</w:t>
      </w:r>
    </w:p>
    <w:p>
      <w:pPr>
        <w:pStyle w:val="9"/>
        <w:widowControl/>
        <w:spacing w:beforeAutospacing="0" w:afterAutospacing="0" w:line="590" w:lineRule="exact"/>
        <w:ind w:firstLine="640"/>
        <w:jc w:val="both"/>
        <w:rPr>
          <w:color w:val="333333"/>
          <w:sz w:val="32"/>
          <w:szCs w:val="32"/>
        </w:rPr>
      </w:pPr>
    </w:p>
    <w:p>
      <w:pPr>
        <w:widowControl/>
        <w:spacing w:line="590" w:lineRule="exact"/>
        <w:ind w:firstLine="640"/>
        <w:jc w:val="left"/>
        <w:rPr>
          <w:szCs w:val="32"/>
        </w:rPr>
      </w:pPr>
    </w:p>
    <w:p>
      <w:pPr>
        <w:pStyle w:val="9"/>
        <w:widowControl/>
        <w:spacing w:beforeAutospacing="0" w:afterAutospacing="0" w:line="590" w:lineRule="exact"/>
        <w:ind w:firstLine="640"/>
        <w:jc w:val="center"/>
        <w:rPr>
          <w:color w:val="333333"/>
          <w:sz w:val="32"/>
          <w:szCs w:val="32"/>
        </w:rPr>
      </w:pPr>
      <w:r>
        <w:rPr>
          <w:color w:val="000000"/>
          <w:sz w:val="32"/>
          <w:szCs w:val="32"/>
          <w:shd w:val="clear" w:color="auto" w:fill="FFFFFF"/>
        </w:rPr>
        <w:t> </w:t>
      </w:r>
    </w:p>
    <w:p>
      <w:pPr>
        <w:pStyle w:val="9"/>
        <w:widowControl/>
        <w:spacing w:beforeAutospacing="0" w:afterAutospacing="0" w:line="590" w:lineRule="exact"/>
        <w:ind w:firstLine="640"/>
        <w:jc w:val="center"/>
        <w:rPr>
          <w:color w:val="000000"/>
          <w:sz w:val="32"/>
          <w:szCs w:val="32"/>
          <w:shd w:val="clear" w:color="auto" w:fill="FFFFFF"/>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7" w:bottom="1984" w:left="1587" w:header="992" w:footer="992" w:gutter="0"/>
          <w:pgNumType w:fmt="numberInDash"/>
          <w:cols w:space="0" w:num="1"/>
          <w:docGrid w:type="lines" w:linePitch="312" w:charSpace="0"/>
        </w:sectPr>
      </w:pPr>
    </w:p>
    <w:p>
      <w:pPr>
        <w:pStyle w:val="9"/>
        <w:widowControl/>
        <w:spacing w:beforeAutospacing="0" w:afterAutospacing="0" w:line="590" w:lineRule="exact"/>
        <w:ind w:firstLine="640"/>
        <w:jc w:val="center"/>
        <w:rPr>
          <w:color w:val="000000"/>
          <w:sz w:val="32"/>
          <w:szCs w:val="32"/>
          <w:shd w:val="clear" w:color="auto" w:fill="FFFFFF"/>
        </w:rPr>
      </w:pPr>
    </w:p>
    <w:p>
      <w:pPr>
        <w:pStyle w:val="9"/>
        <w:widowControl/>
        <w:spacing w:beforeAutospacing="0" w:afterAutospacing="0" w:line="590" w:lineRule="exact"/>
        <w:ind w:firstLine="0" w:firstLineChars="0"/>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000000"/>
          <w:sz w:val="44"/>
          <w:szCs w:val="44"/>
          <w:shd w:val="clear" w:color="auto" w:fill="FFFFFF"/>
        </w:rPr>
        <w:t>安徽省工伤保险费率管理办法</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 </w:t>
      </w:r>
    </w:p>
    <w:p>
      <w:pPr>
        <w:pStyle w:val="9"/>
        <w:widowControl/>
        <w:spacing w:beforeAutospacing="0" w:afterAutospacing="0" w:line="590" w:lineRule="exact"/>
        <w:ind w:firstLine="640"/>
        <w:jc w:val="both"/>
        <w:rPr>
          <w:color w:val="333333"/>
          <w:sz w:val="32"/>
          <w:szCs w:val="32"/>
        </w:rPr>
      </w:pPr>
      <w:r>
        <w:rPr>
          <w:rFonts w:hint="eastAsia" w:ascii="方正黑体_GBK" w:hAnsi="方正黑体_GBK" w:eastAsia="方正黑体_GBK" w:cs="方正黑体_GBK"/>
          <w:color w:val="333333"/>
          <w:sz w:val="32"/>
          <w:szCs w:val="32"/>
          <w:shd w:val="clear" w:color="auto" w:fill="FFFFFF"/>
        </w:rPr>
        <w:t>第一条</w:t>
      </w:r>
      <w:r>
        <w:rPr>
          <w:color w:val="333333"/>
          <w:sz w:val="32"/>
          <w:szCs w:val="32"/>
          <w:shd w:val="clear" w:color="auto" w:fill="FFFFFF"/>
        </w:rPr>
        <w:t>  为规范工伤保险基金征缴，促进工伤预防，根据《工伤保险条例》（国务院令第586号）、《关于调整工伤保险费率政策的通知》（人社部发〔2015〕71号）、《关于印发〈关于进一步</w:t>
      </w:r>
      <w:r>
        <w:rPr>
          <w:color w:val="333333"/>
          <w:spacing w:val="-2"/>
          <w:sz w:val="32"/>
          <w:szCs w:val="32"/>
          <w:shd w:val="clear" w:color="auto" w:fill="FFFFFF"/>
        </w:rPr>
        <w:t>完善工伤保险省级统筹制度实施方案〉的通知》（皖人社发〔2023〕</w:t>
      </w:r>
      <w:r>
        <w:rPr>
          <w:color w:val="333333"/>
          <w:sz w:val="32"/>
          <w:szCs w:val="32"/>
          <w:shd w:val="clear" w:color="auto" w:fill="FFFFFF"/>
        </w:rPr>
        <w:t>21号）等有关规定，按照以支定收、收支平衡的原则，结合本省实际，制定本办法。</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第二条</w:t>
      </w:r>
      <w:r>
        <w:rPr>
          <w:color w:val="333333"/>
          <w:sz w:val="32"/>
          <w:szCs w:val="32"/>
          <w:shd w:val="clear" w:color="auto" w:fill="FFFFFF"/>
        </w:rPr>
        <w:t>  本省行政区域内的国家机关、企业、事业单位、社会团体、民办非企业单位、基金会、律师事务所、会计师事务所等组织，有雇工的个体工商户（以下称用人单位）和工程建设项目适用本办法。</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第三条</w:t>
      </w:r>
      <w:r>
        <w:rPr>
          <w:color w:val="333333"/>
          <w:sz w:val="32"/>
          <w:szCs w:val="32"/>
          <w:shd w:val="clear" w:color="auto" w:fill="FFFFFF"/>
        </w:rPr>
        <w:t>  工伤保险实行行业差别费率。本省行政区域内的行业按照国家有关规定划分工伤风险类别，从低到高依次为一类至八类，其对应的工伤保险行业基准费率标准，分别为该行业用人单位职工工资总额的0.2%、0.4%、0.7%、0.9%、1.1%、1.3%、1.6%、1.9%（见附件）。工程建设领域按项目参加工伤保险基准费率标准为建筑安装工程费（或工程合同价）的1.5‰。</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第四条</w:t>
      </w:r>
      <w:r>
        <w:rPr>
          <w:color w:val="333333"/>
          <w:sz w:val="32"/>
          <w:szCs w:val="32"/>
          <w:shd w:val="clear" w:color="auto" w:fill="FFFFFF"/>
        </w:rPr>
        <w:t>  行业基准费率和工程建设项目参保费率可根据全省产业结构变动、工伤保险基金运行等情况，由省人力资源社会保障厅、省财政厅、省税务局征求工会组织、用人单位代表意见，并报经省人民政府同意后适时调整。</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第五条</w:t>
      </w:r>
      <w:r>
        <w:rPr>
          <w:color w:val="333333"/>
          <w:sz w:val="32"/>
          <w:szCs w:val="32"/>
          <w:shd w:val="clear" w:color="auto" w:fill="FFFFFF"/>
        </w:rPr>
        <w:t>  按用人单位参加工伤保险的，其费率实行浮动管理，每两年浮动调整一次，从调整年度的1月1日开始执行。本办法实施后首次调整时间为2025年1月1日。工伤保险浮动费率以用人单位所在行业基准费率为基数，由参保地社会保险经办机构根据用人单位工伤保险支缴率、工伤发生率等因素，确定参保单位执行的浮动费率标准。</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工伤保险支缴率，是指用人单位在一个浮动周期内工伤保险基金使用额占其实际缴纳工伤保险费的比例。</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工伤发生率，是指参保单位在一个浮动周期内经社会保险行政部门核定的工伤认定数与该单位平均缴费人数的比例。</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工伤保险支缴率和工伤发生率由参保地社会保险经办机构初核后报省级社会保险经办机构统一核算。</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第六条</w:t>
      </w:r>
      <w:r>
        <w:rPr>
          <w:color w:val="333333"/>
          <w:sz w:val="32"/>
          <w:szCs w:val="32"/>
          <w:shd w:val="clear" w:color="auto" w:fill="FFFFFF"/>
        </w:rPr>
        <w:t>  属于下列情形之一的，产生的工伤保险费用不纳入支缴率核算范围：</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1.职工在抢险救灾等维护国家利益、公共利益活动中受到伤害的；</w:t>
      </w:r>
    </w:p>
    <w:p>
      <w:pPr>
        <w:pStyle w:val="9"/>
        <w:spacing w:beforeAutospacing="0" w:afterAutospacing="0" w:line="590" w:lineRule="exact"/>
        <w:ind w:firstLine="640"/>
        <w:jc w:val="both"/>
        <w:rPr>
          <w:color w:val="333333"/>
          <w:sz w:val="32"/>
          <w:szCs w:val="32"/>
        </w:rPr>
      </w:pPr>
      <w:r>
        <w:rPr>
          <w:color w:val="333333"/>
          <w:sz w:val="32"/>
          <w:szCs w:val="32"/>
          <w:shd w:val="clear" w:color="auto" w:fill="FFFFFF"/>
        </w:rPr>
        <w:t>2.职工原在军队服役，因战、因公负伤致残，已取得革命伤残军人证，到用人单位后旧伤复发的。</w:t>
      </w:r>
    </w:p>
    <w:p>
      <w:pPr>
        <w:pStyle w:val="9"/>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第七条</w:t>
      </w:r>
      <w:r>
        <w:rPr>
          <w:color w:val="333333"/>
          <w:sz w:val="32"/>
          <w:szCs w:val="32"/>
          <w:shd w:val="clear" w:color="auto" w:fill="FFFFFF"/>
        </w:rPr>
        <w:t>  用人单位费率根据本单位工伤保险支缴率、工伤发生率按照下列标准进行浮动：</w:t>
      </w:r>
    </w:p>
    <w:p>
      <w:pPr>
        <w:pStyle w:val="9"/>
        <w:spacing w:beforeAutospacing="0" w:afterAutospacing="0" w:line="590" w:lineRule="exact"/>
        <w:ind w:firstLine="640"/>
        <w:jc w:val="both"/>
        <w:rPr>
          <w:color w:val="333333"/>
          <w:sz w:val="32"/>
          <w:szCs w:val="32"/>
        </w:rPr>
      </w:pPr>
      <w:r>
        <w:rPr>
          <w:color w:val="333333"/>
          <w:sz w:val="32"/>
          <w:szCs w:val="32"/>
          <w:shd w:val="clear" w:color="auto" w:fill="FFFFFF"/>
        </w:rPr>
        <w:t>1.用人单位在上两个浮动周期内工伤保险支缴率为零的，费率下浮二档至本行业基准费率的50%；</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2.用人单位在上一个浮动周期内工伤保险支缴率为零的，费率下浮一档至本行业基准费率的80%；</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3.用人单位在上一个浮动周期内工伤保险支缴率大于零、小于等于100%且工伤发生率低于全省同类行业平均工伤发生率的，费率按本行业基准费率执行；</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4.用人单位在上一个浮动周期内工伤保险支缴率大于100%、小于等于150%，或工伤发生率大于全省同类行业平均发生率但小于等于150%的，费率上浮一档至本行业基准费率的120%；</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5.用人单位在上一个浮动周期内工伤保险支缴率大于150%，或工伤发生率大于全省同类行业平均发生率150%的，费率上浮二档至本行业基准费率的150%。</w:t>
      </w:r>
    </w:p>
    <w:p>
      <w:pPr>
        <w:pStyle w:val="9"/>
        <w:spacing w:beforeAutospacing="0" w:afterAutospacing="0" w:line="590" w:lineRule="exact"/>
        <w:ind w:firstLine="640"/>
        <w:jc w:val="both"/>
        <w:rPr>
          <w:color w:val="333333"/>
          <w:sz w:val="32"/>
          <w:szCs w:val="32"/>
        </w:rPr>
      </w:pPr>
      <w:r>
        <w:rPr>
          <w:color w:val="333333"/>
          <w:sz w:val="32"/>
          <w:szCs w:val="32"/>
          <w:shd w:val="clear" w:color="auto" w:fill="FFFFFF"/>
        </w:rPr>
        <w:t>一类行业在基准费率基础上，不向下浮动。二至八类行业在基准费率的基础上，下浮后的费率低于一类行业基准费率的，按一类行业基准费率确定。按工程建设项目参保单位，施工总承包单位在市级范围内按项目参保缴费费率参照上述办法进行浮动。</w:t>
      </w:r>
    </w:p>
    <w:p>
      <w:pPr>
        <w:pStyle w:val="9"/>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第八条</w:t>
      </w:r>
      <w:r>
        <w:rPr>
          <w:color w:val="333333"/>
          <w:sz w:val="32"/>
          <w:szCs w:val="32"/>
          <w:shd w:val="clear" w:color="auto" w:fill="FFFFFF"/>
        </w:rPr>
        <w:t>  用人单位在上一浮动周期内有下列情形之一的，工伤保险费率不实施下浮：</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1.欠缴工伤保险费的；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2.列入社会保险严重失信人名单的；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3.应付未付一次性就业补助金等工伤保险待遇的；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4.上一调整周期内承包的工程建设项目未依法参加工伤保险的；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5.拒不配合进行工伤认定、劳动能力鉴定的；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6.非客观性因素影响，在我省行政区域内发生工亡、3人及以上多人伤亡、重伤等重大工伤事故在48小时内未告知参保地人力资源社会保障行政部门的；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7.法律、法规、规章规定的其他不实施下浮的情形。</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第九条</w:t>
      </w:r>
      <w:r>
        <w:rPr>
          <w:color w:val="333333"/>
          <w:sz w:val="32"/>
          <w:szCs w:val="32"/>
          <w:shd w:val="clear" w:color="auto" w:fill="FFFFFF"/>
        </w:rPr>
        <w:t>  用人单位在上一浮动周期内有下列情形之一的，工伤保险费率在本行业基准费率基础上上浮一档：</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1.漏报、瞒报工资总额或从业人员人数的；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2.隐瞒有关情况或者提供虚假材料，导致工伤认定、劳动能力鉴定结论错误的。</w:t>
      </w:r>
    </w:p>
    <w:p>
      <w:pPr>
        <w:pStyle w:val="9"/>
        <w:spacing w:beforeAutospacing="0" w:afterAutospacing="0" w:line="590" w:lineRule="exact"/>
        <w:ind w:firstLine="640"/>
        <w:jc w:val="both"/>
        <w:rPr>
          <w:color w:val="333333"/>
          <w:sz w:val="32"/>
          <w:szCs w:val="32"/>
        </w:rPr>
      </w:pPr>
      <w:r>
        <w:rPr>
          <w:color w:val="333333"/>
          <w:sz w:val="32"/>
          <w:szCs w:val="32"/>
          <w:shd w:val="clear" w:color="auto" w:fill="FFFFFF"/>
        </w:rPr>
        <w:t>按建设项目参保单位出现上述情况，或职工发生工伤时施工企业未为职工</w:t>
      </w:r>
      <w:r>
        <w:rPr>
          <w:rFonts w:hint="eastAsia" w:ascii="方正仿宋_GBK" w:hAnsi="方正仿宋_GBK" w:cs="方正仿宋_GBK"/>
          <w:color w:val="333333"/>
          <w:sz w:val="32"/>
          <w:szCs w:val="32"/>
          <w:shd w:val="clear" w:color="auto" w:fill="FFFFFF"/>
        </w:rPr>
        <w:t>办理“实名制”登</w:t>
      </w:r>
      <w:r>
        <w:rPr>
          <w:color w:val="333333"/>
          <w:sz w:val="32"/>
          <w:szCs w:val="32"/>
          <w:shd w:val="clear" w:color="auto" w:fill="FFFFFF"/>
        </w:rPr>
        <w:t>记3人次（含）以上的，施工总承包单位在市级范围内按项目参保缴费费率参照按单位参保办法上浮一档。</w:t>
      </w:r>
    </w:p>
    <w:p>
      <w:pPr>
        <w:pStyle w:val="9"/>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第十条</w:t>
      </w:r>
      <w:r>
        <w:rPr>
          <w:color w:val="333333"/>
          <w:sz w:val="32"/>
          <w:szCs w:val="32"/>
          <w:shd w:val="clear" w:color="auto" w:fill="FFFFFF"/>
        </w:rPr>
        <w:t>  用人单位在上一浮动周期内有下列情形之一的，工伤保险费率在本行业基准费率基础上上浮两档：</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1.骗取工伤保险待遇的；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2.因用人单位未依法缴纳工伤保险费用而产生的先行支付且未弥补基金到位的；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3.被负有安全生产监督管理职责的部门列入安全生产（风险</w:t>
      </w:r>
      <w:r>
        <w:rPr>
          <w:rFonts w:hint="eastAsia" w:ascii="方正仿宋_GBK" w:hAnsi="方正仿宋_GBK" w:cs="方正仿宋_GBK"/>
          <w:color w:val="333333"/>
          <w:sz w:val="32"/>
          <w:szCs w:val="32"/>
          <w:shd w:val="clear" w:color="auto" w:fill="FFFFFF"/>
        </w:rPr>
        <w:t>）“黑名单”（</w:t>
      </w:r>
      <w:r>
        <w:rPr>
          <w:color w:val="333333"/>
          <w:sz w:val="32"/>
          <w:szCs w:val="32"/>
          <w:shd w:val="clear" w:color="auto" w:fill="FFFFFF"/>
        </w:rPr>
        <w:t>或严重失信主体名单）的。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按建设项目参保单位出现上述情况，以及按项目参保存在少报、瞒报建筑安装工程费（或工程合同价）的，施工总承包单位在市级范围内按项目参保缴费费率参照按单位参保办法上浮两档。</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第十一条</w:t>
      </w:r>
      <w:r>
        <w:rPr>
          <w:color w:val="333333"/>
          <w:sz w:val="32"/>
          <w:szCs w:val="32"/>
          <w:shd w:val="clear" w:color="auto" w:fill="FFFFFF"/>
        </w:rPr>
        <w:t>  用人单位同时符合前述多个条款规定的多种情形的，按从高原则，取其符合情形中的最高档次确定缴费费率。</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第十二条 </w:t>
      </w:r>
      <w:r>
        <w:rPr>
          <w:color w:val="333333"/>
          <w:sz w:val="32"/>
          <w:szCs w:val="32"/>
          <w:shd w:val="clear" w:color="auto" w:fill="FFFFFF"/>
        </w:rPr>
        <w:t> 鼓励用人单位开展健康企业建设。被设区市及以上政府主管部门发文认定为健康企业（或优秀案例），符合本办法第七条2、3款规定且不属于第八、九、十条规定情形的用人单位（一类行业除外），其工伤保险费率分别对应下浮至本行业基准费率的50%、80%。</w:t>
      </w:r>
    </w:p>
    <w:p>
      <w:pPr>
        <w:pStyle w:val="9"/>
        <w:spacing w:beforeAutospacing="0" w:afterAutospacing="0" w:line="590" w:lineRule="exact"/>
        <w:ind w:firstLine="640"/>
        <w:jc w:val="both"/>
        <w:rPr>
          <w:color w:val="333333"/>
          <w:sz w:val="32"/>
          <w:szCs w:val="32"/>
        </w:rPr>
      </w:pPr>
      <w:r>
        <w:rPr>
          <w:color w:val="333333"/>
          <w:sz w:val="32"/>
          <w:szCs w:val="32"/>
          <w:shd w:val="clear" w:color="auto" w:fill="FFFFFF"/>
        </w:rPr>
        <w:t>本办法所指健康企业，是指用人单位整体被认定为健康企业，单位机关或分支机构认定情况不作为费率浮动依据。</w:t>
      </w:r>
    </w:p>
    <w:p>
      <w:pPr>
        <w:pStyle w:val="9"/>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第十三条</w:t>
      </w:r>
      <w:r>
        <w:rPr>
          <w:color w:val="333333"/>
          <w:sz w:val="32"/>
          <w:szCs w:val="32"/>
          <w:shd w:val="clear" w:color="auto" w:fill="FFFFFF"/>
        </w:rPr>
        <w:t>  用人单位首次参保且缴费不满24个月的，不实施浮动。用人单位非首次参保且缴费不满24个月的，按实际缴费月份计算支缴率、工伤发生率。</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第十四条</w:t>
      </w:r>
      <w:r>
        <w:rPr>
          <w:color w:val="333333"/>
          <w:sz w:val="32"/>
          <w:szCs w:val="32"/>
          <w:shd w:val="clear" w:color="auto" w:fill="FFFFFF"/>
        </w:rPr>
        <w:t>  从事两种或两种以上经营生产业务的用人单位，根据其所从事的主要经营生产业务，确定其行业工伤风险类别和工伤保险基准费率，跨行业经营且难以确定主要经营生产业务的，按照较高风险行业确定。</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第十五条</w:t>
      </w:r>
      <w:r>
        <w:rPr>
          <w:color w:val="333333"/>
          <w:sz w:val="32"/>
          <w:szCs w:val="32"/>
          <w:shd w:val="clear" w:color="auto" w:fill="FFFFFF"/>
        </w:rPr>
        <w:t>  用人单位办理非全日制用工参加工伤保险应当主动申报实际用工单位，并在实际用工单位所在地参保，根据实际用工单位所在行业确定缴费费率。</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第十六条</w:t>
      </w:r>
      <w:r>
        <w:rPr>
          <w:color w:val="333333"/>
          <w:sz w:val="32"/>
          <w:szCs w:val="32"/>
          <w:shd w:val="clear" w:color="auto" w:fill="FFFFFF"/>
        </w:rPr>
        <w:t>  劳</w:t>
      </w:r>
      <w:r>
        <w:rPr>
          <w:color w:val="333333"/>
          <w:spacing w:val="-6"/>
          <w:sz w:val="32"/>
          <w:szCs w:val="32"/>
          <w:shd w:val="clear" w:color="auto" w:fill="FFFFFF"/>
        </w:rPr>
        <w:t>务派遣单位，根据被派遣劳动者实际用工单位所在行业确定其行业工伤风险类别和工伤保险基准费率，多行业派遣难以确定的，根据多数被派遣劳动者实际用工单位所在行业确定。</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第十七条</w:t>
      </w:r>
      <w:r>
        <w:rPr>
          <w:color w:val="333333"/>
          <w:sz w:val="32"/>
          <w:szCs w:val="32"/>
          <w:shd w:val="clear" w:color="auto" w:fill="FFFFFF"/>
        </w:rPr>
        <w:t>  用人单位、劳务派遣单位违反前款规定，未申报</w:t>
      </w:r>
      <w:r>
        <w:rPr>
          <w:color w:val="333333"/>
          <w:spacing w:val="-6"/>
          <w:sz w:val="32"/>
          <w:szCs w:val="32"/>
          <w:shd w:val="clear" w:color="auto" w:fill="FFFFFF"/>
        </w:rPr>
        <w:t>或者未如实申报实际用工单位所在行业、被派遣劳动者实际用工单位所在行业的，按第八类行业工伤风险类别确定其工伤保险费率。</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第十八条</w:t>
      </w:r>
      <w:r>
        <w:rPr>
          <w:color w:val="333333"/>
          <w:sz w:val="32"/>
          <w:szCs w:val="32"/>
          <w:shd w:val="clear" w:color="auto" w:fill="FFFFFF"/>
        </w:rPr>
        <w:t>  各市社会保险经办机构应当在上一浮动周期最后一季度按照本办法规定，具体核定各用人单位或建设项目总承包单位的工伤保险费率（工伤保险支缴率和工伤发生率计算时间为上一浮动周期前一年的10月1日至上一浮动周期第二年的9月30日），经省级社会保险经办机构汇总核算，报省人力资源社会保障厅、省财政厅、省税务局核定。费率核定后，社会保险经办机构应及时传递至同级税务部门，同时，及时将基金使用情况、工伤认定情况、浮动费率等情况，以及申诉部门和时限等信息告知用人单位或建设项目总承包单位。</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第十九条</w:t>
      </w:r>
      <w:r>
        <w:rPr>
          <w:color w:val="333333"/>
          <w:sz w:val="32"/>
          <w:szCs w:val="32"/>
          <w:shd w:val="clear" w:color="auto" w:fill="FFFFFF"/>
        </w:rPr>
        <w:t>  用人单位对浮动费率有异议的，可向参保地社会保险经办机构提出书面复核申请，并提供相关资料。社会保险经办机构应当自受理之日起15个工作日内重新核定，并将复核结果书面告知用人单位。用人单位对复核结果不服的，可按照相关规定提起行政复议或行政诉讼。</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第二十条</w:t>
      </w:r>
      <w:r>
        <w:rPr>
          <w:color w:val="333333"/>
          <w:sz w:val="32"/>
          <w:szCs w:val="32"/>
          <w:shd w:val="clear" w:color="auto" w:fill="FFFFFF"/>
        </w:rPr>
        <w:t>  本办法自2025年1月1日起执行，由省人力资源社会保障部门会同省财政厅、省税务局负责解释。《安徽省人力资源</w:t>
      </w:r>
      <w:r>
        <w:rPr>
          <w:rFonts w:hint="eastAsia"/>
          <w:color w:val="333333"/>
          <w:sz w:val="32"/>
          <w:szCs w:val="32"/>
          <w:shd w:val="clear" w:color="auto" w:fill="FFFFFF"/>
          <w:lang w:eastAsia="zh-CN"/>
        </w:rPr>
        <w:t>和</w:t>
      </w:r>
      <w:bookmarkStart w:id="0" w:name="_GoBack"/>
      <w:bookmarkEnd w:id="0"/>
      <w:r>
        <w:rPr>
          <w:color w:val="333333"/>
          <w:sz w:val="32"/>
          <w:szCs w:val="32"/>
          <w:shd w:val="clear" w:color="auto" w:fill="FFFFFF"/>
        </w:rPr>
        <w:t>社会保障厅、安徽省财政厅关于印发〈安徽省工伤保险费率管理暂行办法〉的通知》（皖人社秘〔2018〕188号）同时废止。</w:t>
      </w:r>
    </w:p>
    <w:p>
      <w:pPr>
        <w:spacing w:line="590" w:lineRule="exact"/>
        <w:ind w:firstLine="640"/>
        <w:rPr>
          <w:szCs w:val="32"/>
        </w:rPr>
      </w:pPr>
    </w:p>
    <w:sectPr>
      <w:pgSz w:w="11906" w:h="16838"/>
      <w:pgMar w:top="2098" w:right="1587" w:bottom="1984" w:left="1587" w:header="992"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roman"/>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425" w:firstLineChars="2000"/>
      <w:jc w:val="right"/>
      <w:rPr>
        <w:rFonts w:ascii="宋体" w:hAnsi="宋体" w:eastAsia="宋体" w:cs="宋体"/>
        <w:b/>
        <w:bCs/>
        <w:color w:val="005192"/>
        <w:sz w:val="28"/>
        <w:szCs w:val="44"/>
      </w:rPr>
    </w:pPr>
    <w:r>
      <w:rPr>
        <w:b/>
        <w:bCs/>
        <w:color w:val="FAFAFA"/>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74930</wp:posOffset>
              </wp:positionV>
              <wp:extent cx="5515610" cy="8890"/>
              <wp:effectExtent l="0" t="0" r="0" b="0"/>
              <wp:wrapNone/>
              <wp:docPr id="7" name="直接连接符 7"/>
              <wp:cNvGraphicFramePr/>
              <a:graphic xmlns:a="http://schemas.openxmlformats.org/drawingml/2006/main">
                <a:graphicData uri="http://schemas.microsoft.com/office/word/2010/wordprocessingShape">
                  <wps:wsp>
                    <wps:cNvCnPr/>
                    <wps:spPr>
                      <a:xfrm flipV="true">
                        <a:off x="0" y="0"/>
                        <a:ext cx="5515610" cy="889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2.25pt;margin-top:5.9pt;height:0.7pt;width:434.3pt;z-index:251660288;mso-width-relative:page;mso-height-relative:page;" filled="f" stroked="t" coordsize="21600,21600" o:gfxdata="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1ZODdgAAAAHAQAADwAAAAAAAAABACAAAAA4AAAAZHJzL2Rvd25yZXYueG1sUEsB&#10;AhQAFAAAAAgAh07iQJnzD9LfAQAAggMAAA4AAAAAAAAAAQAgAAAAPQEAAGRycy9lMm9Eb2MueG1s&#10;UEsFBgAAAAAGAAYAWQEAAI4FAAAAAA==&#10;">
              <v:fill on="f" focussize="0,0"/>
              <v:stroke weight="1.75pt" color="#005192"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4GIgmtYAAAAIAQAADwAAAAAAAAABACAAAAA4AAAAZHJzL2Rvd25yZXYu&#10;eG1sUEsBAhQAFAAAAAgAh07iQGUktTAgAgAANwQAAA4AAAAAAAAAAQAgAAAAOwEAAGRycy9lMm9E&#10;b2MueG1sUEsFBgAAAAAGAAYAWQEAAM0FAAAAAA==&#10;">
              <v:fill on="f" focussize="0,0"/>
              <v:stroke on="f" weight="0.5pt"/>
              <v:imagedata o:title=""/>
              <o:lock v:ext="edit" aspectratio="f"/>
              <v:textbox inset="0mm,0mm,0mm,0mm" style="mso-fit-shape-to-text:t;">
                <w:txbxContent>
                  <w:p>
                    <w:pPr>
                      <w:pStyle w:val="7"/>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ascii="宋体" w:hAnsi="宋体" w:eastAsia="宋体" w:cs="宋体"/>
        <w:b/>
        <w:bCs/>
        <w:color w:val="005192"/>
        <w:sz w:val="28"/>
        <w:szCs w:val="28"/>
      </w:rPr>
      <w:t>安徽省人力资源和社会保障厅发布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43"/>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8"/>
      <w:ind w:firstLine="0" w:firstLineChars="0"/>
      <w:textAlignment w:val="center"/>
      <w:rPr>
        <w:rFonts w:ascii="宋体" w:hAnsi="宋体" w:eastAsia="宋体" w:cs="宋体"/>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安徽省人力资源和社会保障厅行政规范性文件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420"/>
  <w:drawingGridVerticalSpacing w:val="156"/>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ZTQzOTRmMTA4NWRhY2YzY2E1OTY0N2I0YWU4MjUifQ=="/>
  </w:docVars>
  <w:rsids>
    <w:rsidRoot w:val="00172A27"/>
    <w:rsid w:val="001633EC"/>
    <w:rsid w:val="00172A27"/>
    <w:rsid w:val="00741814"/>
    <w:rsid w:val="00972FAA"/>
    <w:rsid w:val="00AB704F"/>
    <w:rsid w:val="019E71BD"/>
    <w:rsid w:val="03BE7AB1"/>
    <w:rsid w:val="043745D1"/>
    <w:rsid w:val="04B679C3"/>
    <w:rsid w:val="07051715"/>
    <w:rsid w:val="080F63D8"/>
    <w:rsid w:val="09341458"/>
    <w:rsid w:val="0B0912D7"/>
    <w:rsid w:val="0EA67BD0"/>
    <w:rsid w:val="102F38FF"/>
    <w:rsid w:val="130F5C30"/>
    <w:rsid w:val="13D22AE2"/>
    <w:rsid w:val="152D2DCA"/>
    <w:rsid w:val="19FC7C2C"/>
    <w:rsid w:val="1A69007C"/>
    <w:rsid w:val="1DEC284C"/>
    <w:rsid w:val="1E6523AC"/>
    <w:rsid w:val="1EBEC810"/>
    <w:rsid w:val="1FC45DB4"/>
    <w:rsid w:val="217A66EA"/>
    <w:rsid w:val="21B82AC6"/>
    <w:rsid w:val="22440422"/>
    <w:rsid w:val="27304502"/>
    <w:rsid w:val="28E676D0"/>
    <w:rsid w:val="2ADF6956"/>
    <w:rsid w:val="2D2B14C9"/>
    <w:rsid w:val="2E9B271B"/>
    <w:rsid w:val="318E06C2"/>
    <w:rsid w:val="31A15F24"/>
    <w:rsid w:val="368A544A"/>
    <w:rsid w:val="395347B5"/>
    <w:rsid w:val="39A232A0"/>
    <w:rsid w:val="39D907EC"/>
    <w:rsid w:val="39E745AA"/>
    <w:rsid w:val="3B5A6BBB"/>
    <w:rsid w:val="3B7115B1"/>
    <w:rsid w:val="3BAA664E"/>
    <w:rsid w:val="3CC50082"/>
    <w:rsid w:val="3D5E6FF5"/>
    <w:rsid w:val="3ED667AD"/>
    <w:rsid w:val="3EDA13A6"/>
    <w:rsid w:val="40650E7A"/>
    <w:rsid w:val="42F058B7"/>
    <w:rsid w:val="436109F6"/>
    <w:rsid w:val="43ED1C06"/>
    <w:rsid w:val="43FB011B"/>
    <w:rsid w:val="441A38D4"/>
    <w:rsid w:val="48EA5A7F"/>
    <w:rsid w:val="4BC77339"/>
    <w:rsid w:val="4C9236C5"/>
    <w:rsid w:val="505C172E"/>
    <w:rsid w:val="52F46F0B"/>
    <w:rsid w:val="5377138E"/>
    <w:rsid w:val="53D8014D"/>
    <w:rsid w:val="540D401E"/>
    <w:rsid w:val="55E064E0"/>
    <w:rsid w:val="572C6D10"/>
    <w:rsid w:val="58683E68"/>
    <w:rsid w:val="58D2655F"/>
    <w:rsid w:val="59EE36A9"/>
    <w:rsid w:val="5A0A00E6"/>
    <w:rsid w:val="5DC34279"/>
    <w:rsid w:val="5EDF6479"/>
    <w:rsid w:val="5FABA5E5"/>
    <w:rsid w:val="608816D1"/>
    <w:rsid w:val="60EF4E7F"/>
    <w:rsid w:val="657259E3"/>
    <w:rsid w:val="659C3AAC"/>
    <w:rsid w:val="665233C1"/>
    <w:rsid w:val="66577823"/>
    <w:rsid w:val="66750907"/>
    <w:rsid w:val="6AD9688B"/>
    <w:rsid w:val="6BB99A63"/>
    <w:rsid w:val="6CD429A0"/>
    <w:rsid w:val="6CF03552"/>
    <w:rsid w:val="6D0E3F22"/>
    <w:rsid w:val="6D5C4EAF"/>
    <w:rsid w:val="6F1053BF"/>
    <w:rsid w:val="6F702D04"/>
    <w:rsid w:val="739A7C2A"/>
    <w:rsid w:val="75846F2D"/>
    <w:rsid w:val="76BDAE91"/>
    <w:rsid w:val="76C458ED"/>
    <w:rsid w:val="77FF8E26"/>
    <w:rsid w:val="794DD85C"/>
    <w:rsid w:val="79FF79A3"/>
    <w:rsid w:val="7BAF13D5"/>
    <w:rsid w:val="7C9011D9"/>
    <w:rsid w:val="7C96797D"/>
    <w:rsid w:val="7CFF1065"/>
    <w:rsid w:val="7DC651C5"/>
    <w:rsid w:val="7E5D9CD9"/>
    <w:rsid w:val="7E63297C"/>
    <w:rsid w:val="7EBB4A01"/>
    <w:rsid w:val="7F6E84CB"/>
    <w:rsid w:val="7FA6490D"/>
    <w:rsid w:val="7FCC2834"/>
    <w:rsid w:val="DBB33935"/>
    <w:rsid w:val="F5D36111"/>
    <w:rsid w:val="F7B7B5EA"/>
    <w:rsid w:val="FB9F75B2"/>
    <w:rsid w:val="FD3FAF37"/>
    <w:rsid w:val="FDCF8C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14"/>
    <w:qFormat/>
    <w:uiPriority w:val="0"/>
    <w:pPr>
      <w:ind w:firstLine="0" w:firstLineChars="0"/>
      <w:jc w:val="center"/>
      <w:outlineLvl w:val="0"/>
    </w:pPr>
    <w:rPr>
      <w:rFonts w:hint="eastAsia" w:ascii="宋体" w:hAnsi="宋体" w:eastAsia="方正小标宋_GBK"/>
      <w:kern w:val="44"/>
      <w:sz w:val="44"/>
      <w:szCs w:val="48"/>
    </w:rPr>
  </w:style>
  <w:style w:type="paragraph" w:styleId="4">
    <w:name w:val="heading 2"/>
    <w:basedOn w:val="1"/>
    <w:next w:val="1"/>
    <w:unhideWhenUsed/>
    <w:qFormat/>
    <w:uiPriority w:val="0"/>
    <w:pPr>
      <w:keepNext/>
      <w:keepLines/>
      <w:outlineLvl w:val="1"/>
    </w:pPr>
    <w:rPr>
      <w:rFonts w:ascii="Arial" w:hAnsi="Arial" w:eastAsia="方正黑体_GBK"/>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1"/>
      <w:lang w:val="zh-CN"/>
    </w:rPr>
  </w:style>
  <w:style w:type="paragraph" w:styleId="5">
    <w:name w:val="annotation text"/>
    <w:basedOn w:val="1"/>
    <w:qFormat/>
    <w:uiPriority w:val="0"/>
    <w:pPr>
      <w:jc w:val="left"/>
    </w:pPr>
  </w:style>
  <w:style w:type="paragraph" w:styleId="6">
    <w:name w:val="Balloon Text"/>
    <w:basedOn w:val="1"/>
    <w:link w:val="15"/>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标题 1 Char"/>
    <w:link w:val="3"/>
    <w:qFormat/>
    <w:uiPriority w:val="0"/>
    <w:rPr>
      <w:rFonts w:hint="eastAsia" w:ascii="宋体" w:hAnsi="宋体" w:eastAsia="方正小标宋_GBK" w:cs="宋体"/>
      <w:kern w:val="44"/>
      <w:sz w:val="44"/>
      <w:szCs w:val="48"/>
    </w:rPr>
  </w:style>
  <w:style w:type="character" w:customStyle="1" w:styleId="15">
    <w:name w:val="批注框文本 Char"/>
    <w:basedOn w:val="11"/>
    <w:link w:val="6"/>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3188</Words>
  <Characters>3302</Characters>
  <Lines>24</Lines>
  <Paragraphs>6</Paragraphs>
  <TotalTime>8</TotalTime>
  <ScaleCrop>false</ScaleCrop>
  <LinksUpToDate>false</LinksUpToDate>
  <CharactersWithSpaces>3356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2025-04-12T20:45:00Z</dcterms:created>
  <dc:creator>t</dc:creator>
  <cp:lastModifiedBy>hss</cp:lastModifiedBy>
  <cp:lastPrinted>2021-10-30T19:30:00Z</cp:lastPrinted>
  <dcterms:modified xsi:type="dcterms:W3CDTF">2025-08-28T09:37:55Z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00F7EB35D5304463AF441841F4E3F532_13</vt:lpwstr>
  </property>
  <property fmtid="{D5CDD505-2E9C-101B-9397-08002B2CF9AE}" pid="4" name="KSOTemplateDocerSaveRecord">
    <vt:lpwstr>eyJoZGlkIjoiMTE5ZDljYzgxMmYwNjc3YjZmNzVjMTI0NzgyNTE0YmYiLCJ1c2VySWQiOiIyODA1OTkzOTgifQ==</vt:lpwstr>
  </property>
</Properties>
</file>