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04949">
      <w:pPr>
        <w:jc w:val="center"/>
        <w:rPr>
          <w:rFonts w:hint="default" w:ascii="宋体" w:hAnsi="宋体" w:eastAsia="宋体" w:cs="宋体"/>
          <w:b/>
          <w:bCs w:val="0"/>
          <w:sz w:val="44"/>
          <w:szCs w:val="44"/>
          <w:lang w:val="en-US" w:eastAsia="zh-CN"/>
        </w:rPr>
      </w:pPr>
      <w:r>
        <w:rPr>
          <w:rFonts w:hint="eastAsia" w:ascii="宋体" w:hAnsi="宋体" w:cs="宋体"/>
          <w:b/>
          <w:bCs w:val="0"/>
          <w:sz w:val="44"/>
          <w:szCs w:val="44"/>
          <w:lang w:val="en-US" w:eastAsia="zh-CN"/>
        </w:rPr>
        <w:t>休宁县教育局</w:t>
      </w:r>
      <w:r>
        <w:rPr>
          <w:rFonts w:hint="eastAsia" w:ascii="宋体" w:hAnsi="宋体" w:cs="宋体"/>
          <w:b/>
          <w:bCs w:val="0"/>
          <w:sz w:val="44"/>
          <w:szCs w:val="44"/>
          <w:lang w:val="en-US" w:eastAsia="zh-CN"/>
        </w:rPr>
        <w:br w:type="textWrapping"/>
      </w:r>
      <w:r>
        <w:rPr>
          <w:rFonts w:hint="eastAsia" w:ascii="宋体" w:hAnsi="宋体" w:cs="宋体"/>
          <w:b/>
          <w:bCs w:val="0"/>
          <w:sz w:val="44"/>
          <w:szCs w:val="44"/>
          <w:lang w:val="en-US" w:eastAsia="zh-CN"/>
        </w:rPr>
        <w:t>单位</w:t>
      </w:r>
      <w:r>
        <w:rPr>
          <w:rFonts w:hint="eastAsia" w:ascii="宋体" w:hAnsi="宋体" w:eastAsia="宋体" w:cs="宋体"/>
          <w:b/>
          <w:bCs w:val="0"/>
          <w:sz w:val="44"/>
          <w:szCs w:val="44"/>
        </w:rPr>
        <w:t>整体支出绩效评价报告</w:t>
      </w:r>
      <w:r>
        <w:rPr>
          <w:rFonts w:hint="eastAsia" w:ascii="宋体" w:hAnsi="宋体" w:eastAsia="宋体" w:cs="宋体"/>
          <w:b/>
          <w:bCs w:val="0"/>
          <w:sz w:val="44"/>
          <w:szCs w:val="44"/>
        </w:rPr>
        <w:br w:type="textWrapping"/>
      </w:r>
      <w:r>
        <w:rPr>
          <w:rFonts w:hint="eastAsia" w:ascii="宋体" w:hAnsi="宋体" w:cs="宋体"/>
          <w:b/>
          <w:bCs w:val="0"/>
          <w:sz w:val="44"/>
          <w:szCs w:val="44"/>
          <w:lang w:eastAsia="zh-CN"/>
        </w:rPr>
        <w:t>（</w:t>
      </w:r>
      <w:r>
        <w:rPr>
          <w:rFonts w:hint="eastAsia" w:ascii="宋体" w:hAnsi="宋体" w:cs="宋体"/>
          <w:b/>
          <w:bCs w:val="0"/>
          <w:sz w:val="44"/>
          <w:szCs w:val="44"/>
          <w:lang w:val="en-US" w:eastAsia="zh-CN"/>
        </w:rPr>
        <w:t>2024年度）</w:t>
      </w:r>
    </w:p>
    <w:p w14:paraId="0F851E58">
      <w:pPr>
        <w:rPr>
          <w:rFonts w:hint="default" w:ascii="Times New Roman" w:hAnsi="Times New Roman" w:cs="Times New Roman"/>
        </w:rPr>
      </w:pPr>
    </w:p>
    <w:p w14:paraId="4C06951D">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p>
    <w:p w14:paraId="25DB192C">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rPr>
        <w:fldChar w:fldCharType="begin"/>
      </w:r>
      <w:r>
        <w:rPr>
          <w:rFonts w:hint="eastAsia"/>
        </w:rPr>
        <w:instrText xml:space="preserve">TOC \o "1-2" \h \u </w:instrText>
      </w:r>
      <w:r>
        <w:rPr>
          <w:rFonts w:hint="eastAsia"/>
        </w:rPr>
        <w:fldChar w:fldCharType="separate"/>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_Toc9362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摘    要</w:t>
      </w:r>
      <w:r>
        <w:rPr>
          <w:rFonts w:hint="eastAsia" w:ascii="仿宋_GB2312" w:hAnsi="仿宋_GB2312" w:eastAsia="仿宋_GB2312" w:cs="仿宋_GB2312"/>
          <w:b/>
          <w:bCs/>
          <w:sz w:val="32"/>
          <w:szCs w:val="32"/>
        </w:rPr>
        <w:fldChar w:fldCharType="end"/>
      </w:r>
    </w:p>
    <w:p w14:paraId="378BDB2A">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一、部门概况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4BFE745">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_Toc18358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eastAsia="zh-CN"/>
        </w:rPr>
        <w:t>二、评价结论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_Toc18358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7503363">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eastAsia="zh-CN"/>
        </w:rPr>
        <w:t>三、存在问题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3FC7DE1">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_Toc15837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报告</w:t>
      </w:r>
      <w:r>
        <w:rPr>
          <w:rFonts w:hint="eastAsia" w:ascii="仿宋_GB2312" w:hAnsi="仿宋_GB2312" w:eastAsia="仿宋_GB2312" w:cs="仿宋_GB2312"/>
          <w:b/>
          <w:bCs/>
          <w:sz w:val="32"/>
          <w:szCs w:val="32"/>
          <w:lang w:val="en-US" w:eastAsia="zh-CN"/>
        </w:rPr>
        <w:t>正文</w:t>
      </w:r>
      <w:r>
        <w:rPr>
          <w:rFonts w:hint="eastAsia" w:ascii="仿宋_GB2312" w:hAnsi="仿宋_GB2312" w:eastAsia="仿宋_GB2312" w:cs="仿宋_GB2312"/>
          <w:b/>
          <w:bCs/>
          <w:sz w:val="32"/>
          <w:szCs w:val="32"/>
        </w:rPr>
        <w:fldChar w:fldCharType="end"/>
      </w:r>
    </w:p>
    <w:p w14:paraId="415FF3FB">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_Toc4675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一、部门基本情况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_Toc4675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4539E03">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_Toc25740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（一）部门主要职责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_Toc25740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9EE595C">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_Toc27120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（二）年度部门预决算情况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_Toc27120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150D809">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_Toc25847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（三）部门整体支出绩效目标及完成情况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_Toc25847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075BDF4">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_Toc4731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二、绩效评价结论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_Toc4731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FC4F93C">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_Toc11669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（一）总体结论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C44E4A0">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_Toc13064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val="en-US" w:eastAsia="zh-CN"/>
        </w:rPr>
        <w:t>（二）评价得分情况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_Toc13064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50E6F79">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_Toc6490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三、绩效评价指标分析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_Toc6490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D37E360">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_Toc20886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（一）决策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_Toc20886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990F939">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_Toc14781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（二）过程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_Toc14781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C4C4222">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_Toc5992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w:t>
      </w:r>
      <w:r>
        <w:rPr>
          <w:rFonts w:hint="eastAsia" w:ascii="仿宋_GB2312" w:hAnsi="仿宋_GB2312" w:eastAsia="仿宋_GB2312" w:cs="仿宋_GB2312"/>
          <w:bCs w:val="0"/>
          <w:sz w:val="32"/>
          <w:szCs w:val="32"/>
        </w:rPr>
        <w:t>）产出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_Toc5992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7F96E8D">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_Toc8692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（四）效益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_Toc8692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1C35815">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_Toc9685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四、存在问题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_Toc9685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2D63406">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_Toc17679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五、意见和建议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_Toc17679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70FAC8C">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_Toc26237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六、评价组织情况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_Toc26237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FA63EB8">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_Toc17872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（一）评价组织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_Toc17872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2912594">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_Toc23088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（二）评价方案及指标的制定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_Toc23088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7152D07">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_Toc20091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（三）评价方法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_Toc20091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5205FD6">
      <w:pPr>
        <w:pStyle w:val="9"/>
        <w:keepNext w:val="0"/>
        <w:keepLines w:val="0"/>
        <w:pageBreakBefore w:val="0"/>
        <w:widowControl w:val="0"/>
        <w:tabs>
          <w:tab w:val="right" w:leader="dot" w:pos="9072"/>
        </w:tabs>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_Toc17420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（四）质量控制和评价报告提交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_Toc17420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4FBE031">
      <w:pPr>
        <w:pStyle w:val="8"/>
        <w:keepNext w:val="0"/>
        <w:keepLines w:val="0"/>
        <w:pageBreakBefore w:val="0"/>
        <w:widowControl w:val="0"/>
        <w:tabs>
          <w:tab w:val="right" w:leader="dot" w:pos="9072"/>
        </w:tabs>
        <w:kinsoku/>
        <w:wordWrap/>
        <w:overflowPunct/>
        <w:topLinePunct w:val="0"/>
        <w:autoSpaceDE/>
        <w:autoSpaceDN/>
        <w:bidi w:val="0"/>
        <w:adjustRightInd/>
        <w:snapToGrid/>
        <w:spacing w:line="500" w:lineRule="exact"/>
        <w:textAlignment w:val="auto"/>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_Toc30706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val="en-US" w:eastAsia="zh-CN"/>
        </w:rPr>
        <w:t>七</w:t>
      </w:r>
      <w:r>
        <w:rPr>
          <w:rFonts w:hint="eastAsia" w:ascii="仿宋_GB2312" w:hAnsi="仿宋_GB2312" w:eastAsia="仿宋_GB2312" w:cs="仿宋_GB2312"/>
          <w:bCs/>
          <w:sz w:val="32"/>
          <w:szCs w:val="32"/>
        </w:rPr>
        <w:t>、其他需要说明的问题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_Toc30706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6E8A4AC">
      <w:pPr>
        <w:pStyle w:val="2"/>
        <w:keepNext/>
        <w:keepLines/>
        <w:pageBreakBefore w:val="0"/>
        <w:widowControl w:val="0"/>
        <w:kinsoku/>
        <w:wordWrap/>
        <w:overflowPunct/>
        <w:topLinePunct w:val="0"/>
        <w:autoSpaceDE/>
        <w:autoSpaceDN/>
        <w:bidi w:val="0"/>
        <w:adjustRightInd/>
        <w:snapToGrid/>
        <w:spacing w:before="0" w:after="0" w:line="560" w:lineRule="exact"/>
        <w:ind w:firstLine="883" w:firstLineChars="200"/>
        <w:jc w:val="center"/>
        <w:textAlignment w:val="auto"/>
        <w:rPr>
          <w:rFonts w:hint="eastAsia" w:ascii="Times New Roman" w:hAnsi="Times New Roman" w:eastAsia="宋体" w:cs="Times New Roman"/>
          <w:b/>
          <w:kern w:val="44"/>
          <w:sz w:val="44"/>
          <w:szCs w:val="24"/>
          <w:lang w:val="en-US" w:eastAsia="zh-CN" w:bidi="ar-SA"/>
        </w:rPr>
      </w:pPr>
      <w:r>
        <w:rPr>
          <w:rFonts w:hint="eastAsia"/>
        </w:rPr>
        <w:fldChar w:fldCharType="end"/>
      </w:r>
    </w:p>
    <w:p w14:paraId="1639EE40">
      <w:pPr>
        <w:rPr>
          <w:rFonts w:hint="eastAsia"/>
        </w:rPr>
        <w:sectPr>
          <w:headerReference r:id="rId3" w:type="default"/>
          <w:footerReference r:id="rId4" w:type="default"/>
          <w:pgSz w:w="11906" w:h="16838"/>
          <w:pgMar w:top="1417" w:right="1417" w:bottom="1417" w:left="1417" w:header="680" w:footer="680" w:gutter="0"/>
          <w:pgBorders>
            <w:top w:val="none" w:sz="0" w:space="0"/>
            <w:left w:val="none" w:sz="0" w:space="0"/>
            <w:bottom w:val="none" w:sz="0" w:space="0"/>
            <w:right w:val="none" w:sz="0" w:space="0"/>
          </w:pgBorders>
          <w:pgNumType w:fmt="decimal" w:start="1"/>
          <w:cols w:space="425" w:num="1"/>
          <w:docGrid w:type="lines" w:linePitch="312" w:charSpace="0"/>
        </w:sectPr>
      </w:pPr>
    </w:p>
    <w:p w14:paraId="2B67C91C">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rPr>
      </w:pPr>
      <w:bookmarkStart w:id="0" w:name="_Toc9362"/>
      <w:r>
        <w:rPr>
          <w:rFonts w:hint="eastAsia"/>
        </w:rPr>
        <w:t>摘  要</w:t>
      </w:r>
      <w:bookmarkEnd w:id="0"/>
    </w:p>
    <w:p w14:paraId="6DE0EBB4">
      <w:pPr>
        <w:spacing w:line="600" w:lineRule="exact"/>
        <w:ind w:firstLine="627" w:firstLineChars="196"/>
        <w:rPr>
          <w:rFonts w:hint="default" w:ascii="Times New Roman" w:hAnsi="Times New Roman" w:eastAsia="仿宋_GB2312" w:cs="Times New Roman"/>
          <w:sz w:val="32"/>
          <w:szCs w:val="32"/>
        </w:rPr>
      </w:pPr>
    </w:p>
    <w:p w14:paraId="1F12D1CB">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1" w:name="_Toc2382"/>
      <w:r>
        <w:rPr>
          <w:rFonts w:hint="eastAsia" w:ascii="黑体" w:hAnsi="黑体" w:eastAsia="黑体" w:cs="黑体"/>
          <w:b w:val="0"/>
          <w:bCs/>
          <w:sz w:val="32"/>
          <w:szCs w:val="32"/>
        </w:rPr>
        <w:t>一、部门概况</w:t>
      </w:r>
      <w:bookmarkEnd w:id="1"/>
    </w:p>
    <w:p w14:paraId="4F59B40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color w:val="000000"/>
          <w:sz w:val="32"/>
          <w:szCs w:val="32"/>
          <w:lang w:eastAsia="zh-CN"/>
        </w:rPr>
        <w:t>休宁县教育局位于休宁县政务大楼（海阳镇书院路9号）4楼，内设机构包括县委教育工委办公室、办公室、人事股、计划财务股、教育股、项目办和安全办等7个部门，同时设有休宁县招生考试管理中心、休宁县青少年校外活动中心、休宁县教育局教育经费核算中心、休宁县教育局教学研究室、休宁县人民政府教育督导室和休宁县电化教育馆等6个工作机构。所属事业单位共39个，其中公益一类事业单位36个，公益二类事业单位3个。截至2024年末，局机关行政编制9个，在岗9人；事业编制25个，在岗20人。全县中小学教职工编制1495个，周转池编制67个，在编人员1505人；幼儿园编制109个，在编人员109人</w:t>
      </w:r>
      <w:r>
        <w:rPr>
          <w:rFonts w:hint="eastAsia" w:ascii="Times New Roman" w:hAnsi="Times New Roman" w:eastAsia="仿宋_GB2312" w:cs="Times New Roman"/>
          <w:b w:val="0"/>
          <w:bCs/>
          <w:color w:val="000000"/>
          <w:sz w:val="32"/>
          <w:szCs w:val="32"/>
          <w:lang w:val="en-US" w:eastAsia="zh-CN"/>
        </w:rPr>
        <w:t>。</w:t>
      </w:r>
      <w:r>
        <w:rPr>
          <w:rFonts w:hint="eastAsia" w:ascii="Times New Roman" w:hAnsi="Times New Roman" w:eastAsia="仿宋_GB2312" w:cs="Times New Roman"/>
          <w:color w:val="auto"/>
          <w:sz w:val="32"/>
          <w:szCs w:val="32"/>
          <w:highlight w:val="none"/>
          <w:lang w:val="en-US" w:eastAsia="zh-CN"/>
        </w:rPr>
        <w:t xml:space="preserve">  </w:t>
      </w:r>
    </w:p>
    <w:p w14:paraId="6DCF4861">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lang w:eastAsia="zh-CN"/>
        </w:rPr>
      </w:pPr>
      <w:bookmarkStart w:id="2" w:name="_Toc18358"/>
      <w:r>
        <w:rPr>
          <w:rFonts w:hint="eastAsia" w:ascii="黑体" w:hAnsi="黑体" w:eastAsia="黑体" w:cs="黑体"/>
          <w:b w:val="0"/>
          <w:bCs/>
          <w:sz w:val="32"/>
          <w:szCs w:val="32"/>
          <w:lang w:eastAsia="zh-CN"/>
        </w:rPr>
        <w:t>二、评价结论</w:t>
      </w:r>
      <w:bookmarkEnd w:id="2"/>
    </w:p>
    <w:p w14:paraId="528287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val="0"/>
          <w:bCs/>
          <w:color w:val="auto"/>
          <w:sz w:val="32"/>
          <w:szCs w:val="32"/>
          <w:highlight w:val="none"/>
          <w:lang w:val="en-US" w:eastAsia="zh-CN"/>
        </w:rPr>
        <w:t>2024年度，休宁县教育局紧紧围绕财政目标任务，高效履行职能，各项工作取得显著成效。在财政管理方面，全年预算9,067.52万元全部执行到位，预算执行率达100%，资金使用规范高效。全力改善城乡办学条件，包括海阳二小教学楼改造等乡村学校提升工程，以及海阳一小教学楼新建等城区教育扩容项目，显著改善了城乡办学条件。教育民生方面，精准落实家庭经济困难学生资助政策，切实保障建档立卡等特殊群体学生就学权益。教育质量提升方面，通过“教育365共富协作区”促进教师交流学习，常态化开展智慧课堂和“央广虚拟实验”等信息化教学活动。校园安全方面，强化封闭管理，组织安保人员实战演练，全面提升“三防”建设水平。通过深化教育改革、优化教育资源配置、加强校园安全管理等举措，有效推动了全县教育事业高质量发展。</w:t>
      </w:r>
      <w:r>
        <w:rPr>
          <w:rFonts w:hint="eastAsia" w:ascii="Times New Roman" w:hAnsi="Times New Roman" w:eastAsia="仿宋_GB2312" w:cs="Times New Roman"/>
          <w:b w:val="0"/>
          <w:bCs/>
          <w:color w:val="auto"/>
          <w:sz w:val="32"/>
          <w:szCs w:val="32"/>
          <w:highlight w:val="red"/>
          <w:lang w:val="en-US" w:eastAsia="zh-CN"/>
        </w:rPr>
        <w:br w:type="textWrapping"/>
      </w:r>
      <w:r>
        <w:rPr>
          <w:rFonts w:hint="default" w:ascii="Times New Roman" w:hAnsi="Times New Roman" w:eastAsia="仿宋_GB2312" w:cs="Times New Roman"/>
          <w:b w:val="0"/>
          <w:bCs/>
          <w:color w:val="auto"/>
          <w:sz w:val="32"/>
          <w:szCs w:val="32"/>
          <w:lang w:val="en-US" w:eastAsia="zh-CN"/>
        </w:rPr>
        <w:t xml:space="preserve">    </w:t>
      </w:r>
      <w:r>
        <w:rPr>
          <w:rFonts w:hint="eastAsia" w:ascii="Times New Roman" w:hAnsi="Times New Roman" w:eastAsia="仿宋_GB2312" w:cs="Times New Roman"/>
          <w:sz w:val="32"/>
          <w:szCs w:val="32"/>
        </w:rPr>
        <w:t>经统计分析，</w:t>
      </w:r>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rPr>
        <w:t>年度</w:t>
      </w:r>
      <w:r>
        <w:rPr>
          <w:rFonts w:hint="eastAsia" w:eastAsia="仿宋_GB2312" w:cs="Times New Roman"/>
          <w:b w:val="0"/>
          <w:bCs w:val="0"/>
          <w:sz w:val="32"/>
          <w:szCs w:val="32"/>
          <w:lang w:val="en-US" w:eastAsia="zh-CN"/>
        </w:rPr>
        <w:t>县</w:t>
      </w:r>
      <w:r>
        <w:rPr>
          <w:rFonts w:hint="eastAsia" w:ascii="Times New Roman" w:hAnsi="Times New Roman" w:eastAsia="仿宋_GB2312" w:cs="Times New Roman"/>
          <w:b w:val="0"/>
          <w:bCs/>
          <w:color w:val="auto"/>
          <w:sz w:val="32"/>
          <w:szCs w:val="32"/>
          <w:highlight w:val="none"/>
          <w:lang w:val="en-US" w:eastAsia="zh-CN"/>
        </w:rPr>
        <w:t>教育局</w:t>
      </w:r>
      <w:r>
        <w:rPr>
          <w:rFonts w:hint="eastAsia" w:ascii="Times New Roman" w:hAnsi="Times New Roman" w:eastAsia="仿宋_GB2312" w:cs="Times New Roman"/>
          <w:b w:val="0"/>
          <w:bCs w:val="0"/>
          <w:sz w:val="32"/>
          <w:szCs w:val="32"/>
          <w:lang w:val="en-US" w:eastAsia="zh-CN"/>
        </w:rPr>
        <w:t>部门整体支出绩效评价综合得分为</w:t>
      </w:r>
      <w:r>
        <w:rPr>
          <w:rFonts w:hint="eastAsia" w:eastAsia="仿宋_GB2312" w:cs="Times New Roman"/>
          <w:b w:val="0"/>
          <w:bCs w:val="0"/>
          <w:sz w:val="32"/>
          <w:szCs w:val="32"/>
          <w:lang w:val="en-US" w:eastAsia="zh-CN"/>
        </w:rPr>
        <w:t>91.19</w:t>
      </w:r>
      <w:r>
        <w:rPr>
          <w:rFonts w:hint="eastAsia" w:ascii="Times New Roman" w:hAnsi="Times New Roman" w:eastAsia="仿宋_GB2312" w:cs="Times New Roman"/>
          <w:b w:val="0"/>
          <w:bCs w:val="0"/>
          <w:sz w:val="32"/>
          <w:szCs w:val="32"/>
          <w:lang w:val="en-US" w:eastAsia="zh-CN"/>
        </w:rPr>
        <w:t>分，评价等级为“</w:t>
      </w:r>
      <w:r>
        <w:rPr>
          <w:rFonts w:hint="eastAsia" w:eastAsia="仿宋_GB2312" w:cs="Times New Roman"/>
          <w:b w:val="0"/>
          <w:bCs w:val="0"/>
          <w:sz w:val="32"/>
          <w:szCs w:val="32"/>
          <w:lang w:val="en-US" w:eastAsia="zh-CN"/>
        </w:rPr>
        <w:t>优</w:t>
      </w:r>
      <w:r>
        <w:rPr>
          <w:rFonts w:hint="eastAsia" w:ascii="Times New Roman" w:hAnsi="Times New Roman" w:eastAsia="仿宋_GB2312" w:cs="Times New Roman"/>
          <w:b w:val="0"/>
          <w:bCs w:val="0"/>
          <w:sz w:val="32"/>
          <w:szCs w:val="32"/>
          <w:lang w:val="en-US" w:eastAsia="zh-CN"/>
        </w:rPr>
        <w:t>”。具体评分见下表：</w:t>
      </w:r>
    </w:p>
    <w:tbl>
      <w:tblPr>
        <w:tblStyle w:val="10"/>
        <w:tblW w:w="8937" w:type="dxa"/>
        <w:jc w:val="center"/>
        <w:tblLayout w:type="fixed"/>
        <w:tblCellMar>
          <w:top w:w="56" w:type="dxa"/>
          <w:left w:w="56" w:type="dxa"/>
          <w:bottom w:w="56" w:type="dxa"/>
          <w:right w:w="56" w:type="dxa"/>
        </w:tblCellMar>
      </w:tblPr>
      <w:tblGrid>
        <w:gridCol w:w="1893"/>
        <w:gridCol w:w="1276"/>
        <w:gridCol w:w="1276"/>
        <w:gridCol w:w="1701"/>
        <w:gridCol w:w="1559"/>
        <w:gridCol w:w="1232"/>
      </w:tblGrid>
      <w:tr w14:paraId="27193099">
        <w:trPr>
          <w:trHeight w:val="567" w:hRule="exact"/>
          <w:jc w:val="center"/>
        </w:trPr>
        <w:tc>
          <w:tcPr>
            <w:tcW w:w="18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5E4638">
            <w:pPr>
              <w:pageBreakBefore w:val="0"/>
              <w:kinsoku/>
              <w:wordWrap/>
              <w:overflowPunct/>
              <w:topLinePunct w:val="0"/>
              <w:autoSpaceDE/>
              <w:autoSpaceDN/>
              <w:bidi w:val="0"/>
              <w:snapToGrid w:val="0"/>
              <w:spacing w:line="560" w:lineRule="exact"/>
              <w:jc w:val="center"/>
              <w:rPr>
                <w:rFonts w:hint="default" w:ascii="Times New Roman" w:hAnsi="Times New Roman" w:eastAsia="宋体" w:cs="Times New Roman"/>
                <w:b/>
                <w:spacing w:val="-10"/>
                <w:szCs w:val="21"/>
                <w:lang w:val="en-US" w:eastAsia="zh-CN"/>
              </w:rPr>
            </w:pPr>
            <w:r>
              <w:rPr>
                <w:rFonts w:hint="default" w:ascii="Times New Roman" w:hAnsi="Times New Roman" w:eastAsia="宋体" w:cs="Times New Roman"/>
                <w:b/>
                <w:spacing w:val="-10"/>
                <w:szCs w:val="21"/>
                <w:lang w:val="en-US" w:eastAsia="zh-CN"/>
              </w:rPr>
              <w:t>项目</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A0DBB6">
            <w:pPr>
              <w:pageBreakBefore w:val="0"/>
              <w:kinsoku/>
              <w:wordWrap/>
              <w:overflowPunct/>
              <w:topLinePunct w:val="0"/>
              <w:autoSpaceDE/>
              <w:autoSpaceDN/>
              <w:bidi w:val="0"/>
              <w:spacing w:line="560" w:lineRule="exact"/>
              <w:jc w:val="center"/>
              <w:rPr>
                <w:rFonts w:hint="default" w:ascii="Times New Roman" w:hAnsi="Times New Roman" w:eastAsia="宋体" w:cs="Times New Roman"/>
                <w:b/>
                <w:szCs w:val="21"/>
              </w:rPr>
            </w:pPr>
            <w:r>
              <w:rPr>
                <w:rFonts w:hint="default" w:ascii="Times New Roman" w:hAnsi="Times New Roman" w:eastAsia="宋体" w:cs="Times New Roman"/>
                <w:b/>
                <w:szCs w:val="21"/>
              </w:rPr>
              <w:t>决策指标</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99EB16">
            <w:pPr>
              <w:pageBreakBefore w:val="0"/>
              <w:kinsoku/>
              <w:wordWrap/>
              <w:overflowPunct/>
              <w:topLinePunct w:val="0"/>
              <w:autoSpaceDE/>
              <w:autoSpaceDN/>
              <w:bidi w:val="0"/>
              <w:spacing w:line="560" w:lineRule="exact"/>
              <w:jc w:val="center"/>
              <w:rPr>
                <w:rFonts w:hint="default" w:ascii="Times New Roman" w:hAnsi="Times New Roman" w:eastAsia="宋体" w:cs="Times New Roman"/>
                <w:b/>
                <w:szCs w:val="21"/>
              </w:rPr>
            </w:pPr>
            <w:r>
              <w:rPr>
                <w:rFonts w:hint="default" w:ascii="Times New Roman" w:hAnsi="Times New Roman" w:eastAsia="宋体" w:cs="Times New Roman"/>
                <w:b/>
                <w:szCs w:val="21"/>
              </w:rPr>
              <w:t>过程指标</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F0FBAD">
            <w:pPr>
              <w:pageBreakBefore w:val="0"/>
              <w:kinsoku/>
              <w:wordWrap/>
              <w:overflowPunct/>
              <w:topLinePunct w:val="0"/>
              <w:autoSpaceDE/>
              <w:autoSpaceDN/>
              <w:bidi w:val="0"/>
              <w:spacing w:line="560" w:lineRule="exact"/>
              <w:jc w:val="center"/>
              <w:rPr>
                <w:rFonts w:hint="default" w:ascii="Times New Roman" w:hAnsi="Times New Roman" w:eastAsia="宋体" w:cs="Times New Roman"/>
                <w:b/>
                <w:szCs w:val="21"/>
              </w:rPr>
            </w:pPr>
            <w:r>
              <w:rPr>
                <w:rFonts w:hint="default" w:ascii="Times New Roman" w:hAnsi="Times New Roman" w:eastAsia="宋体" w:cs="Times New Roman"/>
                <w:b/>
                <w:szCs w:val="21"/>
              </w:rPr>
              <w:t>产出指标</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1EB4E3">
            <w:pPr>
              <w:pageBreakBefore w:val="0"/>
              <w:kinsoku/>
              <w:wordWrap/>
              <w:overflowPunct/>
              <w:topLinePunct w:val="0"/>
              <w:autoSpaceDE/>
              <w:autoSpaceDN/>
              <w:bidi w:val="0"/>
              <w:spacing w:line="560" w:lineRule="exact"/>
              <w:jc w:val="center"/>
              <w:rPr>
                <w:rFonts w:hint="default" w:ascii="Times New Roman" w:hAnsi="Times New Roman" w:eastAsia="宋体" w:cs="Times New Roman"/>
                <w:b/>
                <w:szCs w:val="21"/>
              </w:rPr>
            </w:pPr>
            <w:r>
              <w:rPr>
                <w:rFonts w:hint="default" w:ascii="Times New Roman" w:hAnsi="Times New Roman" w:eastAsia="宋体" w:cs="Times New Roman"/>
                <w:b/>
                <w:szCs w:val="21"/>
              </w:rPr>
              <w:t>效益指标</w:t>
            </w:r>
          </w:p>
        </w:tc>
        <w:tc>
          <w:tcPr>
            <w:tcW w:w="12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045F86">
            <w:pPr>
              <w:pageBreakBefore w:val="0"/>
              <w:kinsoku/>
              <w:wordWrap/>
              <w:overflowPunct/>
              <w:topLinePunct w:val="0"/>
              <w:autoSpaceDE/>
              <w:autoSpaceDN/>
              <w:bidi w:val="0"/>
              <w:snapToGrid w:val="0"/>
              <w:spacing w:line="560" w:lineRule="exact"/>
              <w:jc w:val="center"/>
              <w:rPr>
                <w:rFonts w:hint="default" w:ascii="Times New Roman" w:hAnsi="Times New Roman" w:eastAsia="宋体" w:cs="Times New Roman"/>
                <w:b/>
                <w:spacing w:val="-10"/>
                <w:szCs w:val="21"/>
              </w:rPr>
            </w:pPr>
            <w:r>
              <w:rPr>
                <w:rFonts w:hint="default" w:ascii="Times New Roman" w:hAnsi="Times New Roman" w:eastAsia="宋体" w:cs="Times New Roman"/>
                <w:b/>
                <w:spacing w:val="-10"/>
                <w:szCs w:val="21"/>
              </w:rPr>
              <w:t>得分合计</w:t>
            </w:r>
          </w:p>
        </w:tc>
      </w:tr>
      <w:tr w14:paraId="35CD270D">
        <w:tblPrEx>
          <w:tblCellMar>
            <w:top w:w="56" w:type="dxa"/>
            <w:left w:w="56" w:type="dxa"/>
            <w:bottom w:w="56" w:type="dxa"/>
            <w:right w:w="56" w:type="dxa"/>
          </w:tblCellMar>
        </w:tblPrEx>
        <w:trPr>
          <w:trHeight w:val="460" w:hRule="exact"/>
          <w:jc w:val="center"/>
        </w:trPr>
        <w:tc>
          <w:tcPr>
            <w:tcW w:w="18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A6E0DD">
            <w:pPr>
              <w:pageBreakBefore w:val="0"/>
              <w:kinsoku/>
              <w:wordWrap/>
              <w:overflowPunct/>
              <w:topLinePunct w:val="0"/>
              <w:autoSpaceDE/>
              <w:autoSpaceDN/>
              <w:bidi w:val="0"/>
              <w:spacing w:line="560" w:lineRule="exact"/>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标准分值</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38007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731B4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D3876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624E0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2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F590A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1CC8154C">
        <w:tblPrEx>
          <w:tblCellMar>
            <w:top w:w="56" w:type="dxa"/>
            <w:left w:w="56" w:type="dxa"/>
            <w:bottom w:w="56" w:type="dxa"/>
            <w:right w:w="56" w:type="dxa"/>
          </w:tblCellMar>
        </w:tblPrEx>
        <w:trPr>
          <w:trHeight w:val="567" w:hRule="exact"/>
          <w:jc w:val="center"/>
        </w:trPr>
        <w:tc>
          <w:tcPr>
            <w:tcW w:w="18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8CB6CE">
            <w:pPr>
              <w:pageBreakBefore w:val="0"/>
              <w:kinsoku/>
              <w:wordWrap/>
              <w:overflowPunct/>
              <w:topLinePunct w:val="0"/>
              <w:autoSpaceDE/>
              <w:autoSpaceDN/>
              <w:bidi w:val="0"/>
              <w:spacing w:line="560" w:lineRule="exact"/>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评价得分</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FF292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eastAsia" w:ascii="Times New Roman" w:hAnsi="Times New Roman" w:cs="Times New Roman"/>
                <w:i w:val="0"/>
                <w:iCs w:val="0"/>
                <w:color w:val="000000"/>
                <w:kern w:val="0"/>
                <w:sz w:val="21"/>
                <w:szCs w:val="21"/>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A3A7B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eastAsia" w:cs="Times New Roman"/>
                <w:i w:val="0"/>
                <w:iCs w:val="0"/>
                <w:color w:val="000000"/>
                <w:kern w:val="0"/>
                <w:sz w:val="21"/>
                <w:szCs w:val="21"/>
                <w:u w:val="none"/>
                <w:lang w:val="en-US" w:eastAsia="zh-CN" w:bidi="ar"/>
              </w:rPr>
              <w:t>22.70</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39883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eastAsia" w:ascii="Times New Roman" w:hAnsi="Times New Roman"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9.49</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08939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cs="Times New Roman"/>
                <w:i w:val="0"/>
                <w:iCs w:val="0"/>
                <w:color w:val="000000"/>
                <w:kern w:val="0"/>
                <w:sz w:val="21"/>
                <w:szCs w:val="21"/>
                <w:u w:val="none"/>
                <w:lang w:val="en-US" w:eastAsia="zh-CN" w:bidi="ar"/>
              </w:rPr>
              <w:t>9</w:t>
            </w:r>
          </w:p>
        </w:tc>
        <w:tc>
          <w:tcPr>
            <w:tcW w:w="12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8DBC1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eastAsia" w:cs="Times New Roman"/>
                <w:i w:val="0"/>
                <w:iCs w:val="0"/>
                <w:color w:val="000000"/>
                <w:kern w:val="0"/>
                <w:sz w:val="21"/>
                <w:szCs w:val="21"/>
                <w:u w:val="none"/>
                <w:lang w:val="en-US" w:eastAsia="zh-CN" w:bidi="ar"/>
              </w:rPr>
              <w:t>91.19</w:t>
            </w:r>
          </w:p>
        </w:tc>
      </w:tr>
    </w:tbl>
    <w:p w14:paraId="405555D4">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lang w:eastAsia="zh-CN"/>
        </w:rPr>
      </w:pPr>
      <w:bookmarkStart w:id="3" w:name="_Toc2646"/>
      <w:r>
        <w:rPr>
          <w:rFonts w:hint="eastAsia" w:ascii="黑体" w:hAnsi="黑体" w:eastAsia="黑体" w:cs="黑体"/>
          <w:b w:val="0"/>
          <w:bCs/>
          <w:sz w:val="32"/>
          <w:szCs w:val="32"/>
          <w:lang w:eastAsia="zh-CN"/>
        </w:rPr>
        <w:t>三、存在问题</w:t>
      </w:r>
      <w:bookmarkEnd w:id="3"/>
    </w:p>
    <w:p w14:paraId="1FE59D2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通过评价发现存在的问题和不足主要包括：</w:t>
      </w:r>
    </w:p>
    <w:p w14:paraId="3AFA6F61">
      <w:pPr>
        <w:keepNext w:val="0"/>
        <w:keepLines w:val="0"/>
        <w:pageBreakBefore w:val="0"/>
        <w:widowControl w:val="0"/>
        <w:kinsoku/>
        <w:wordWrap/>
        <w:overflowPunct/>
        <w:topLinePunct w:val="0"/>
        <w:autoSpaceDE/>
        <w:autoSpaceDN/>
        <w:bidi w:val="0"/>
        <w:adjustRightInd w:val="0"/>
        <w:snapToGrid w:val="0"/>
        <w:spacing w:line="560" w:lineRule="exact"/>
        <w:ind w:firstLine="630" w:firstLineChars="196"/>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cs="Times New Roman"/>
          <w:b/>
          <w:bCs/>
          <w:sz w:val="32"/>
          <w:szCs w:val="32"/>
        </w:rPr>
        <w:t>一是预算编制与执行方面。</w:t>
      </w:r>
      <w:r>
        <w:rPr>
          <w:rFonts w:hint="default" w:ascii="Times New Roman" w:hAnsi="Times New Roman" w:eastAsia="仿宋_GB2312" w:cs="Times New Roman"/>
          <w:b w:val="0"/>
          <w:bCs w:val="0"/>
          <w:sz w:val="32"/>
          <w:szCs w:val="32"/>
        </w:rPr>
        <w:t>个别项目预算执行率较低。提前下达2023年支持学前教育发展资金全年预算124.75万元，2024年实际支出50.30万元，项目预算执行率为40.32%。政府采购支出未编制采购预算。根据《2024年决算报表休宁县教育局</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本级</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》得知，休宁县教育局2024年实际政府采购支出965.55万元，但预算公开中《休宁县教育局2024年政府采购支出表》未编制预算。</w:t>
      </w:r>
      <w:r>
        <w:rPr>
          <w:rFonts w:hint="eastAsia" w:eastAsia="仿宋_GB2312" w:cs="Times New Roman"/>
          <w:b w:val="0"/>
          <w:bCs w:val="0"/>
          <w:sz w:val="32"/>
          <w:szCs w:val="32"/>
          <w:lang w:val="en-US" w:eastAsia="zh-CN"/>
        </w:rPr>
        <w:t xml:space="preserve"> </w:t>
      </w:r>
      <w:r>
        <w:rPr>
          <w:rFonts w:hint="eastAsia" w:eastAsia="仿宋_GB2312" w:cs="Times New Roman"/>
          <w:b w:val="0"/>
          <w:bCs w:val="0"/>
          <w:sz w:val="32"/>
          <w:szCs w:val="32"/>
          <w:lang w:val="en-US"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rPr>
        <w:t>二是存在未按合同扣留质保金。</w:t>
      </w:r>
      <w:r>
        <w:rPr>
          <w:rFonts w:hint="default" w:ascii="Times New Roman" w:hAnsi="Times New Roman" w:eastAsia="仿宋_GB2312" w:cs="Times New Roman"/>
          <w:b w:val="0"/>
          <w:bCs w:val="0"/>
          <w:sz w:val="32"/>
          <w:szCs w:val="32"/>
        </w:rPr>
        <w:t>2024年4月全额支付海阳中学储物房维修改造项目尾款5.61万元，未扣留3%质保金0.17万元（该项目2023年11月验收合格）。</w:t>
      </w:r>
      <w:r>
        <w:rPr>
          <w:rFonts w:hint="default" w:ascii="Times New Roman" w:hAnsi="Times New Roman" w:eastAsia="仿宋_GB2312" w:cs="Times New Roman"/>
          <w:b w:val="0"/>
          <w:bCs w:val="0"/>
          <w:sz w:val="32"/>
          <w:szCs w:val="32"/>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rPr>
        <w:t>三是财务管理方面。</w:t>
      </w:r>
      <w:r>
        <w:rPr>
          <w:rFonts w:hint="default" w:ascii="Times New Roman" w:hAnsi="Times New Roman" w:eastAsia="仿宋_GB2312" w:cs="Times New Roman"/>
          <w:b w:val="0"/>
          <w:bCs w:val="0"/>
          <w:sz w:val="32"/>
          <w:szCs w:val="32"/>
        </w:rPr>
        <w:t>①会计科目核算不规范。退休人员费用列入“业务活动费”科目，未按规定使用“管理费用”科目；2024年9月预付海阳第四小学建设项目资金1000万元计入“业务活动费”科目，应列入“预付账款”科目；2024年4月支付海阳四小建设项目土地划拨费1164.23万元、2024年6月支付智慧学校建设项目款184.62万元、2024年7月支付打印机采购款4.12万元及速印机1.18万元、2024年9月支付空调采购款24.64万元、2024年12月支付电脑采购款57.05万元等固定资产购置支出均计入“业务活动费”科目，未按规定列入“固定资产”或“无形资产”科目。②项目资金未专款专用。2024年11月挪用“奖教奖学经费”支付职工体检费8.90万元；2024年12月挪用“农村原民办老教师教龄补助”资金支付党报党刊征订费1.55万元；2024年12月挪用“教育督导评价奖励补助资金”支付党报党刊征订费0.08万元。③费用跨期列支。2024年1月支付2023年免费簿本</w:t>
      </w:r>
      <w:r>
        <w:rPr>
          <w:rFonts w:hint="eastAsia" w:eastAsia="仿宋_GB2312" w:cs="Times New Roman"/>
          <w:b w:val="0"/>
          <w:bCs w:val="0"/>
          <w:sz w:val="32"/>
          <w:szCs w:val="32"/>
          <w:lang w:val="en-US" w:eastAsia="zh-CN"/>
        </w:rPr>
        <w:t>费</w:t>
      </w:r>
      <w:r>
        <w:rPr>
          <w:rFonts w:hint="default" w:ascii="Times New Roman" w:hAnsi="Times New Roman" w:eastAsia="仿宋_GB2312" w:cs="Times New Roman"/>
          <w:b w:val="0"/>
          <w:bCs w:val="0"/>
          <w:sz w:val="32"/>
          <w:szCs w:val="32"/>
        </w:rPr>
        <w:t>21.40万元及2022—2023年会议室绿植租金0.62万元；2024年2月支付2023年11月公务用车费1.13万元及2023年秋季免费读本25.84万元，上述支出均计入当期“业务活动费”科目，违反权责发生制原则，影响会计信息准确性。</w:t>
      </w:r>
      <w:r>
        <w:rPr>
          <w:rFonts w:hint="default" w:ascii="Times New Roman" w:hAnsi="Times New Roman" w:eastAsia="仿宋_GB2312" w:cs="Times New Roman"/>
          <w:b w:val="0"/>
          <w:bCs w:val="0"/>
          <w:sz w:val="32"/>
          <w:szCs w:val="32"/>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rPr>
        <w:t>四是项目管理不规范。</w:t>
      </w:r>
      <w:r>
        <w:rPr>
          <w:rFonts w:hint="default" w:ascii="Times New Roman" w:hAnsi="Times New Roman" w:eastAsia="仿宋_GB2312" w:cs="Times New Roman"/>
          <w:b w:val="0"/>
          <w:bCs w:val="0"/>
          <w:sz w:val="32"/>
          <w:szCs w:val="32"/>
        </w:rPr>
        <w:t>①工程项目变更不规范。海阳二中新建餐厅项目—装饰装修及挡墙工程项目合同价43.12万元，实际结算价48.04万元，超合同价11.41%，不符合《中华人民共和国政府采购法》第四十九条规定，需重新签订合同；②个别项目管护不到位，抽查6个工程类项目实地考察，发现海阳一小新建室外附属工程已出现多处路面裂缝，后期管理存在疏漏。</w:t>
      </w:r>
      <w:r>
        <w:rPr>
          <w:rFonts w:hint="default" w:ascii="Times New Roman" w:hAnsi="Times New Roman" w:eastAsia="仿宋_GB2312" w:cs="Times New Roman"/>
          <w:b w:val="0"/>
          <w:bCs w:val="0"/>
          <w:sz w:val="32"/>
          <w:szCs w:val="32"/>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eastAsia="zh-CN"/>
        </w:rPr>
        <w:t>、意见和建议</w:t>
      </w:r>
    </w:p>
    <w:p w14:paraId="2D45F67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针对存在的问题，提出如下建议</w:t>
      </w:r>
      <w:r>
        <w:rPr>
          <w:rFonts w:hint="eastAsia" w:ascii="Times New Roman" w:hAnsi="Times New Roman" w:eastAsia="仿宋_GB2312" w:cs="Times New Roman"/>
          <w:b w:val="0"/>
          <w:bCs/>
          <w:sz w:val="32"/>
          <w:szCs w:val="32"/>
          <w:lang w:val="en-US" w:eastAsia="zh-CN"/>
        </w:rPr>
        <w:t>：</w:t>
      </w:r>
      <w:r>
        <w:rPr>
          <w:rFonts w:hint="eastAsia" w:ascii="Times New Roman" w:hAnsi="Times New Roman" w:eastAsia="仿宋_GB2312" w:cs="Times New Roman"/>
          <w:b w:val="0"/>
          <w:bCs/>
          <w:sz w:val="32"/>
          <w:szCs w:val="32"/>
          <w:lang w:val="en-US" w:eastAsia="zh-CN"/>
        </w:rPr>
        <w:br w:type="textWrapping"/>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bCs w:val="0"/>
          <w:sz w:val="32"/>
          <w:szCs w:val="32"/>
        </w:rPr>
        <w:t>一要</w:t>
      </w:r>
      <w:r>
        <w:rPr>
          <w:rFonts w:hint="default" w:ascii="Times New Roman" w:hAnsi="Times New Roman" w:eastAsia="仿宋_GB2312" w:cs="Times New Roman"/>
          <w:b w:val="0"/>
          <w:bCs/>
          <w:sz w:val="32"/>
          <w:szCs w:val="32"/>
        </w:rPr>
        <w:t>加强预算管理，细化预算编制。强化预算执行意识，确保各项支出严格按照预算执行。加强对政府采购预算的编制和执行管理，确保所有采购活动都纳入预算管理，严格按照预算进行采购。</w:t>
      </w:r>
      <w:r>
        <w:rPr>
          <w:rFonts w:hint="default" w:ascii="Times New Roman" w:hAnsi="Times New Roman" w:eastAsia="仿宋_GB2312" w:cs="Times New Roman"/>
          <w:b w:val="0"/>
          <w:bCs/>
          <w:sz w:val="32"/>
          <w:szCs w:val="32"/>
        </w:rPr>
        <w:br w:type="textWrapping"/>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bCs w:val="0"/>
          <w:sz w:val="32"/>
          <w:szCs w:val="32"/>
        </w:rPr>
        <w:t>二要</w:t>
      </w:r>
      <w:r>
        <w:rPr>
          <w:rFonts w:hint="default" w:ascii="Times New Roman" w:hAnsi="Times New Roman" w:eastAsia="仿宋_GB2312" w:cs="Times New Roman"/>
          <w:b w:val="0"/>
          <w:bCs/>
          <w:sz w:val="32"/>
          <w:szCs w:val="32"/>
        </w:rPr>
        <w:t>加强合同管理，核查合同付款条款执行情况，严格履行合同条款。</w:t>
      </w:r>
      <w:r>
        <w:rPr>
          <w:rFonts w:hint="default" w:ascii="Times New Roman" w:hAnsi="Times New Roman" w:eastAsia="仿宋_GB2312" w:cs="Times New Roman"/>
          <w:b w:val="0"/>
          <w:bCs/>
          <w:sz w:val="32"/>
          <w:szCs w:val="32"/>
        </w:rPr>
        <w:br w:type="textWrapping"/>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bCs w:val="0"/>
          <w:sz w:val="32"/>
          <w:szCs w:val="32"/>
        </w:rPr>
        <w:t>三要</w:t>
      </w:r>
      <w:r>
        <w:rPr>
          <w:rFonts w:hint="default" w:ascii="Times New Roman" w:hAnsi="Times New Roman" w:eastAsia="仿宋_GB2312" w:cs="Times New Roman"/>
          <w:b w:val="0"/>
          <w:bCs/>
          <w:sz w:val="32"/>
          <w:szCs w:val="32"/>
        </w:rPr>
        <w:t>严格遵循会计准则及政府会计制度核算要求，规范会计科目核算；严格执行专项资金管理制度，规范审批流程及监管责任，确保资金能够专款专用；落实权责发生制核算原则，确保费用及时准确入账，严禁跨期列支。</w:t>
      </w:r>
      <w:r>
        <w:rPr>
          <w:rFonts w:hint="default" w:ascii="Times New Roman" w:hAnsi="Times New Roman" w:eastAsia="仿宋_GB2312" w:cs="Times New Roman"/>
          <w:b w:val="0"/>
          <w:bCs/>
          <w:sz w:val="32"/>
          <w:szCs w:val="32"/>
        </w:rPr>
        <w:br w:type="textWrapping"/>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bCs w:val="0"/>
          <w:sz w:val="32"/>
          <w:szCs w:val="32"/>
        </w:rPr>
        <w:t>四要</w:t>
      </w:r>
      <w:r>
        <w:rPr>
          <w:rFonts w:hint="default" w:ascii="Times New Roman" w:hAnsi="Times New Roman" w:eastAsia="仿宋_GB2312" w:cs="Times New Roman"/>
          <w:b w:val="0"/>
          <w:bCs/>
          <w:sz w:val="32"/>
          <w:szCs w:val="32"/>
        </w:rPr>
        <w:t>加强项目管理。严格执行《中华人民共和国政府采购法》规定，超合同价</w:t>
      </w:r>
      <w:r>
        <w:rPr>
          <w:rFonts w:hint="eastAsia" w:eastAsia="仿宋_GB2312" w:cs="Times New Roman"/>
          <w:b w:val="0"/>
          <w:bCs/>
          <w:sz w:val="32"/>
          <w:szCs w:val="32"/>
          <w:lang w:val="en-US" w:eastAsia="zh-CN"/>
        </w:rPr>
        <w:t>10%</w:t>
      </w:r>
      <w:r>
        <w:rPr>
          <w:rFonts w:hint="default" w:ascii="Times New Roman" w:hAnsi="Times New Roman" w:eastAsia="仿宋_GB2312" w:cs="Times New Roman"/>
          <w:b w:val="0"/>
          <w:bCs/>
          <w:sz w:val="32"/>
          <w:szCs w:val="32"/>
        </w:rPr>
        <w:t>项目必须履行重新签约程序（含专家论证、审批等流程）；落实长效管护责任，建立维护考核机制，确保管理实效。</w:t>
      </w:r>
      <w:r>
        <w:rPr>
          <w:rFonts w:hint="eastAsia" w:ascii="Times New Roman" w:hAnsi="Times New Roman"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r>
        <w:rPr>
          <w:rFonts w:hint="eastAsia" w:ascii="Times New Roman" w:hAnsi="Times New Roman" w:eastAsia="仿宋_GB2312" w:cs="Times New Roman"/>
          <w:b w:val="0"/>
          <w:bCs/>
          <w:sz w:val="32"/>
          <w:szCs w:val="32"/>
        </w:rPr>
        <w:br w:type="textWrapping"/>
      </w:r>
    </w:p>
    <w:p w14:paraId="3C372FDF">
      <w:pPr>
        <w:keepNext w:val="0"/>
        <w:keepLines w:val="0"/>
        <w:pageBreakBefore w:val="0"/>
        <w:widowControl w:val="0"/>
        <w:kinsoku/>
        <w:wordWrap/>
        <w:overflowPunct/>
        <w:topLinePunct w:val="0"/>
        <w:autoSpaceDE/>
        <w:autoSpaceDN/>
        <w:bidi w:val="0"/>
        <w:spacing w:line="580" w:lineRule="exact"/>
        <w:ind w:left="3087" w:leftChars="418" w:right="0" w:rightChars="0" w:hanging="2209" w:hangingChars="500"/>
        <w:jc w:val="both"/>
        <w:textAlignment w:val="auto"/>
        <w:rPr>
          <w:rFonts w:hint="default" w:ascii="Times New Roman" w:hAnsi="Times New Roman" w:eastAsia="宋体" w:cs="Times New Roman"/>
          <w:b/>
          <w:bCs w:val="0"/>
          <w:sz w:val="44"/>
          <w:szCs w:val="44"/>
          <w:lang w:val="en-US" w:eastAsia="zh-CN"/>
        </w:rPr>
      </w:pPr>
    </w:p>
    <w:p w14:paraId="700523DA">
      <w:pPr>
        <w:keepNext w:val="0"/>
        <w:keepLines w:val="0"/>
        <w:pageBreakBefore w:val="0"/>
        <w:widowControl w:val="0"/>
        <w:kinsoku/>
        <w:wordWrap/>
        <w:overflowPunct/>
        <w:topLinePunct w:val="0"/>
        <w:autoSpaceDE/>
        <w:autoSpaceDN/>
        <w:bidi w:val="0"/>
        <w:spacing w:line="580" w:lineRule="exact"/>
        <w:ind w:left="3087" w:leftChars="418" w:right="0" w:rightChars="0" w:hanging="2209" w:hangingChars="500"/>
        <w:jc w:val="both"/>
        <w:textAlignment w:val="auto"/>
        <w:rPr>
          <w:rFonts w:hint="default" w:ascii="Times New Roman" w:hAnsi="Times New Roman" w:eastAsia="宋体" w:cs="Times New Roman"/>
          <w:b/>
          <w:bCs w:val="0"/>
          <w:sz w:val="44"/>
          <w:szCs w:val="44"/>
          <w:lang w:val="en-US" w:eastAsia="zh-CN"/>
        </w:rPr>
      </w:pPr>
    </w:p>
    <w:p w14:paraId="2E0F2745">
      <w:pPr>
        <w:keepNext w:val="0"/>
        <w:keepLines w:val="0"/>
        <w:pageBreakBefore w:val="0"/>
        <w:widowControl w:val="0"/>
        <w:kinsoku/>
        <w:wordWrap/>
        <w:overflowPunct/>
        <w:topLinePunct w:val="0"/>
        <w:autoSpaceDE/>
        <w:autoSpaceDN/>
        <w:bidi w:val="0"/>
        <w:spacing w:line="580" w:lineRule="exact"/>
        <w:ind w:left="3087" w:leftChars="418" w:right="0" w:rightChars="0" w:hanging="2209" w:hangingChars="500"/>
        <w:jc w:val="both"/>
        <w:textAlignment w:val="auto"/>
        <w:rPr>
          <w:rFonts w:hint="default" w:ascii="Times New Roman" w:hAnsi="Times New Roman" w:eastAsia="宋体" w:cs="Times New Roman"/>
          <w:b/>
          <w:bCs w:val="0"/>
          <w:sz w:val="44"/>
          <w:szCs w:val="44"/>
          <w:lang w:val="en-US" w:eastAsia="zh-CN"/>
        </w:rPr>
      </w:pPr>
    </w:p>
    <w:p w14:paraId="6263D049">
      <w:pPr>
        <w:keepNext w:val="0"/>
        <w:keepLines w:val="0"/>
        <w:pageBreakBefore w:val="0"/>
        <w:widowControl w:val="0"/>
        <w:kinsoku/>
        <w:wordWrap/>
        <w:overflowPunct/>
        <w:topLinePunct w:val="0"/>
        <w:autoSpaceDE/>
        <w:autoSpaceDN/>
        <w:bidi w:val="0"/>
        <w:spacing w:line="580" w:lineRule="exact"/>
        <w:ind w:left="3087" w:leftChars="418" w:right="0" w:rightChars="0" w:hanging="2209" w:hangingChars="500"/>
        <w:jc w:val="both"/>
        <w:textAlignment w:val="auto"/>
        <w:rPr>
          <w:rFonts w:hint="default" w:ascii="Times New Roman" w:hAnsi="Times New Roman" w:eastAsia="宋体" w:cs="Times New Roman"/>
          <w:b/>
          <w:bCs w:val="0"/>
          <w:sz w:val="44"/>
          <w:szCs w:val="44"/>
          <w:lang w:val="en-US" w:eastAsia="zh-CN"/>
        </w:rPr>
      </w:pPr>
    </w:p>
    <w:p w14:paraId="45454B91">
      <w:pPr>
        <w:keepNext w:val="0"/>
        <w:keepLines w:val="0"/>
        <w:pageBreakBefore w:val="0"/>
        <w:widowControl w:val="0"/>
        <w:kinsoku/>
        <w:wordWrap/>
        <w:overflowPunct/>
        <w:topLinePunct w:val="0"/>
        <w:autoSpaceDE/>
        <w:autoSpaceDN/>
        <w:bidi w:val="0"/>
        <w:spacing w:line="580" w:lineRule="exact"/>
        <w:ind w:left="3087" w:leftChars="418" w:right="0" w:rightChars="0" w:hanging="2209" w:hangingChars="500"/>
        <w:jc w:val="both"/>
        <w:textAlignment w:val="auto"/>
        <w:rPr>
          <w:rFonts w:hint="default" w:ascii="Times New Roman" w:hAnsi="Times New Roman" w:eastAsia="宋体" w:cs="Times New Roman"/>
          <w:b/>
          <w:bCs w:val="0"/>
          <w:sz w:val="44"/>
          <w:szCs w:val="44"/>
          <w:lang w:val="en-US" w:eastAsia="zh-CN"/>
        </w:rPr>
      </w:pPr>
    </w:p>
    <w:p w14:paraId="17548055">
      <w:pPr>
        <w:keepNext w:val="0"/>
        <w:keepLines w:val="0"/>
        <w:pageBreakBefore w:val="0"/>
        <w:widowControl w:val="0"/>
        <w:kinsoku/>
        <w:wordWrap/>
        <w:overflowPunct/>
        <w:topLinePunct w:val="0"/>
        <w:autoSpaceDE/>
        <w:autoSpaceDN/>
        <w:bidi w:val="0"/>
        <w:spacing w:line="580" w:lineRule="exact"/>
        <w:ind w:left="3087" w:leftChars="418" w:right="0" w:rightChars="0" w:hanging="2209" w:hangingChars="500"/>
        <w:jc w:val="both"/>
        <w:textAlignment w:val="auto"/>
        <w:rPr>
          <w:rFonts w:hint="default" w:ascii="Times New Roman" w:hAnsi="Times New Roman" w:eastAsia="宋体" w:cs="Times New Roman"/>
          <w:b/>
          <w:bCs w:val="0"/>
          <w:sz w:val="44"/>
          <w:szCs w:val="44"/>
          <w:lang w:val="en-US" w:eastAsia="zh-CN"/>
        </w:rPr>
      </w:pPr>
    </w:p>
    <w:p w14:paraId="682A6349">
      <w:pPr>
        <w:keepNext w:val="0"/>
        <w:keepLines w:val="0"/>
        <w:pageBreakBefore w:val="0"/>
        <w:widowControl w:val="0"/>
        <w:kinsoku/>
        <w:wordWrap/>
        <w:overflowPunct/>
        <w:topLinePunct w:val="0"/>
        <w:autoSpaceDE/>
        <w:autoSpaceDN/>
        <w:bidi w:val="0"/>
        <w:spacing w:line="580" w:lineRule="exact"/>
        <w:ind w:left="3087" w:leftChars="418" w:right="0" w:rightChars="0" w:hanging="2209" w:hangingChars="500"/>
        <w:jc w:val="both"/>
        <w:textAlignment w:val="auto"/>
        <w:rPr>
          <w:rFonts w:hint="eastAsia" w:ascii="Times New Roman" w:hAnsi="Times New Roman" w:eastAsia="宋体" w:cs="Times New Roman"/>
          <w:b/>
          <w:bCs w:val="0"/>
          <w:sz w:val="44"/>
          <w:szCs w:val="44"/>
        </w:rPr>
      </w:pPr>
      <w:r>
        <w:rPr>
          <w:rFonts w:hint="default" w:ascii="Times New Roman" w:hAnsi="Times New Roman" w:eastAsia="宋体" w:cs="Times New Roman"/>
          <w:b/>
          <w:bCs w:val="0"/>
          <w:sz w:val="44"/>
          <w:szCs w:val="44"/>
          <w:lang w:val="en-US" w:eastAsia="zh-CN"/>
        </w:rPr>
        <w:t>2024</w:t>
      </w:r>
      <w:r>
        <w:rPr>
          <w:rFonts w:hint="eastAsia" w:ascii="Times New Roman" w:hAnsi="Times New Roman" w:eastAsia="宋体" w:cs="Times New Roman"/>
          <w:b/>
          <w:bCs w:val="0"/>
          <w:sz w:val="44"/>
          <w:szCs w:val="44"/>
        </w:rPr>
        <w:t>年度</w:t>
      </w:r>
      <w:r>
        <w:rPr>
          <w:rFonts w:hint="eastAsia" w:ascii="Times New Roman" w:hAnsi="Times New Roman" w:cs="Times New Roman"/>
          <w:b/>
          <w:bCs w:val="0"/>
          <w:sz w:val="44"/>
          <w:szCs w:val="44"/>
          <w:lang w:val="en-US" w:eastAsia="zh-CN"/>
        </w:rPr>
        <w:t>休宁县</w:t>
      </w:r>
      <w:r>
        <w:rPr>
          <w:rFonts w:hint="eastAsia" w:cs="Times New Roman"/>
          <w:b/>
          <w:bCs w:val="0"/>
          <w:sz w:val="44"/>
          <w:szCs w:val="44"/>
          <w:lang w:val="en-US" w:eastAsia="zh-CN"/>
        </w:rPr>
        <w:t>教育局</w:t>
      </w:r>
      <w:r>
        <w:rPr>
          <w:rFonts w:hint="eastAsia" w:ascii="Times New Roman" w:hAnsi="Times New Roman" w:eastAsia="宋体" w:cs="Times New Roman"/>
          <w:b/>
          <w:bCs w:val="0"/>
          <w:sz w:val="44"/>
          <w:szCs w:val="44"/>
        </w:rPr>
        <w:t>部门整体支出</w:t>
      </w:r>
    </w:p>
    <w:p w14:paraId="15DB67C0">
      <w:pPr>
        <w:pStyle w:val="2"/>
        <w:keepNext/>
        <w:keepLines/>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rPr>
          <w:rFonts w:hint="eastAsia"/>
        </w:rPr>
      </w:pPr>
      <w:bookmarkStart w:id="4" w:name="_Toc15837"/>
      <w:r>
        <w:rPr>
          <w:rFonts w:hint="eastAsia"/>
        </w:rPr>
        <w:t>绩效评价报告</w:t>
      </w:r>
      <w:bookmarkEnd w:id="4"/>
    </w:p>
    <w:p w14:paraId="32A41909">
      <w:pPr>
        <w:keepNext w:val="0"/>
        <w:keepLines w:val="0"/>
        <w:pageBreakBefore w:val="0"/>
        <w:widowControl w:val="0"/>
        <w:kinsoku/>
        <w:wordWrap/>
        <w:overflowPunct/>
        <w:topLinePunct w:val="0"/>
        <w:autoSpaceDE/>
        <w:autoSpaceDN/>
        <w:bidi w:val="0"/>
        <w:adjustRightInd/>
        <w:snapToGrid w:val="0"/>
        <w:spacing w:line="240" w:lineRule="auto"/>
        <w:ind w:right="0" w:rightChars="0" w:firstLine="480" w:firstLineChars="200"/>
        <w:jc w:val="righ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〔2025〕京会兴皖分咨字第00550027号</w:t>
      </w:r>
    </w:p>
    <w:p w14:paraId="6734059E">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休宁县</w:t>
      </w:r>
      <w:r>
        <w:rPr>
          <w:rFonts w:hint="default" w:ascii="Times New Roman" w:hAnsi="Times New Roman" w:eastAsia="黑体" w:cs="Times New Roman"/>
          <w:sz w:val="32"/>
          <w:szCs w:val="32"/>
        </w:rPr>
        <w:t>财政局：</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为加强财政支出管理，提高财政资金使用效益。根据《中华人民共和国预算法实施条例》</w:t>
      </w:r>
      <w:r>
        <w:rPr>
          <w:rFonts w:hint="eastAsia" w:eastAsia="仿宋_GB2312" w:cs="Times New Roman"/>
          <w:sz w:val="32"/>
          <w:szCs w:val="32"/>
          <w:lang w:eastAsia="zh-CN"/>
        </w:rPr>
        <w:t>《中共中央 国务院</w:t>
      </w:r>
      <w:r>
        <w:rPr>
          <w:rFonts w:hint="eastAsia" w:ascii="Times New Roman" w:hAnsi="Times New Roman" w:eastAsia="仿宋_GB2312" w:cs="Times New Roman"/>
          <w:sz w:val="32"/>
          <w:szCs w:val="32"/>
        </w:rPr>
        <w:t>关于全面实施预算绩效管理的意见》（中发〔2018〕34号）《中共安徽省委、安徽省人民政府关于全面实施预算绩效管理的实施意见》（皖发〔2019〕11号）和《中共黄山市委、黄山市人民政府关于全面实施预算绩效管理的实施意见》（黄字〔2020〕3号）、财政部《关于委托第三方机构参与预算绩效管理的指导意见》（财预〔2021〕6号）等文件精神。我所接受委托，成立绩效评价项目组，于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6月至7</w:t>
      </w:r>
      <w:r>
        <w:rPr>
          <w:rFonts w:hint="eastAsia" w:ascii="Times New Roman" w:hAnsi="Times New Roman" w:eastAsia="仿宋_GB2312" w:cs="Times New Roman"/>
          <w:sz w:val="32"/>
          <w:szCs w:val="32"/>
        </w:rPr>
        <w:t>月，对</w:t>
      </w:r>
      <w:r>
        <w:rPr>
          <w:rFonts w:hint="eastAsia" w:eastAsia="仿宋_GB2312" w:cs="Times New Roman"/>
          <w:sz w:val="32"/>
          <w:szCs w:val="32"/>
          <w:lang w:val="en-US" w:eastAsia="zh-CN"/>
        </w:rPr>
        <w:t>休宁县教育局</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度部门整体支出</w:t>
      </w:r>
      <w:r>
        <w:rPr>
          <w:rFonts w:hint="eastAsia" w:ascii="Times New Roman" w:hAnsi="Times New Roman" w:eastAsia="仿宋_GB2312" w:cs="Times New Roman"/>
          <w:sz w:val="32"/>
          <w:szCs w:val="32"/>
        </w:rPr>
        <w:t>进行绩效评价（以下简称“</w:t>
      </w:r>
      <w:r>
        <w:rPr>
          <w:rFonts w:hint="eastAsia" w:eastAsia="仿宋_GB2312" w:cs="Times New Roman"/>
          <w:sz w:val="32"/>
          <w:szCs w:val="32"/>
          <w:lang w:val="en-US" w:eastAsia="zh-CN"/>
        </w:rPr>
        <w:t>县教育局</w:t>
      </w:r>
      <w:r>
        <w:rPr>
          <w:rFonts w:hint="eastAsia" w:ascii="Times New Roman" w:hAnsi="Times New Roman" w:eastAsia="仿宋_GB2312" w:cs="Times New Roman"/>
          <w:sz w:val="32"/>
          <w:szCs w:val="32"/>
        </w:rPr>
        <w:t>”）。现将评价情况报告如下：</w:t>
      </w:r>
    </w:p>
    <w:p w14:paraId="1B8F84FC">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5" w:name="_Toc4675"/>
      <w:r>
        <w:rPr>
          <w:rFonts w:hint="eastAsia" w:ascii="黑体" w:hAnsi="黑体" w:eastAsia="黑体" w:cs="黑体"/>
          <w:b w:val="0"/>
          <w:bCs/>
          <w:sz w:val="32"/>
          <w:szCs w:val="32"/>
        </w:rPr>
        <w:t>一、部门基本情况</w:t>
      </w:r>
      <w:bookmarkEnd w:id="5"/>
    </w:p>
    <w:p w14:paraId="0AE4CCF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color w:val="000000"/>
          <w:sz w:val="32"/>
          <w:szCs w:val="32"/>
          <w:lang w:eastAsia="zh-CN"/>
        </w:rPr>
        <w:t>休宁县教育局位于休宁县政务大楼（海阳镇书院路9号）4楼，内设机构包括县委教育工委办公室、办公室、人事股、计划财务股、教育股、项目办和安全办等7个部门，同时设有休宁县招生考试管理中心、休宁县青少年校外活动中心、休宁县教育局教育经费核算中心、休宁县教育局教学研究室、休宁县人民政府教育督导室和休宁县电化教育馆等6个工作机构。所属事业单位共39个，其中公益一类事业单位36个，公益二类事业单位3个。截至2024年末，局机关行政编制9个，在岗9人；事业编制25个，在岗20人。全县中小学教职工编制1495个，周转池编制67个，在编人员1505人；幼儿园编制109个，在编人员109人。</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p>
    <w:p w14:paraId="00E06599">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val="0"/>
        </w:rPr>
      </w:pPr>
      <w:bookmarkStart w:id="6" w:name="_Toc25740"/>
      <w:r>
        <w:rPr>
          <w:rFonts w:hint="eastAsia" w:ascii="楷体_GB2312" w:hAnsi="楷体_GB2312" w:eastAsia="楷体_GB2312" w:cs="楷体_GB2312"/>
          <w:b/>
          <w:bCs w:val="0"/>
        </w:rPr>
        <w:t>（一）部门主要职责</w:t>
      </w:r>
      <w:bookmarkEnd w:id="6"/>
    </w:p>
    <w:p w14:paraId="550C783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04" w:firstLineChars="22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sz w:val="32"/>
          <w:szCs w:val="32"/>
          <w:highlight w:val="none"/>
          <w:lang w:val="en-US" w:eastAsia="zh-CN"/>
        </w:rPr>
        <w:t>休宁县教育局的主要工作职责：贯彻执行党和国家的教育方针、政策、法律和法规，制定教育改革与发展的中长期规划和近期计划，指导学校按教育规律办学，落实教学大纲和课程方案，加强德育工作，推进素质教育实施。统筹协调基础教育、职业教育、成人教育，构建服务于当地经济社会发展的教育体系。制定巩固“两基”成果的措施，优化中小学、幼儿园布局，审批和管理民办教育。强化教育经费管理及审计监督，规范收费行为，提高资金使用效益。推进学校设施和实验基地建设，加快教育技术现代化，完善社区教育网络，优化校园环境。加强学校常规管理、校园文化建设和学生心理健康教育。开展校长和教师培训，完善考核制度，提升队伍素质，加强师德师风建设，严禁体罚学生。落实学校安全管理和学生安全教育，防范安全风险。查处教育违法行为，依法实施行政处罚或行政处分。完成县委、县政府交办的其他任务。</w:t>
      </w:r>
    </w:p>
    <w:p w14:paraId="04D7010C">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val="0"/>
        </w:rPr>
      </w:pPr>
      <w:bookmarkStart w:id="7" w:name="_Toc27120"/>
      <w:r>
        <w:rPr>
          <w:rFonts w:hint="eastAsia" w:ascii="楷体_GB2312" w:hAnsi="楷体_GB2312" w:eastAsia="楷体_GB2312" w:cs="楷体_GB2312"/>
          <w:b/>
          <w:bCs w:val="0"/>
        </w:rPr>
        <w:t>（二）年度部门预决算情况</w:t>
      </w:r>
      <w:bookmarkEnd w:id="7"/>
    </w:p>
    <w:p w14:paraId="746141B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1.收入情况</w:t>
      </w:r>
    </w:p>
    <w:p w14:paraId="0415C54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eastAsia="仿宋_GB2312" w:cs="Times New Roman"/>
          <w:sz w:val="32"/>
          <w:szCs w:val="32"/>
          <w:lang w:val="en-US" w:eastAsia="zh-CN"/>
        </w:rPr>
        <w:t>县教育局</w:t>
      </w:r>
      <w:r>
        <w:rPr>
          <w:rFonts w:hint="eastAsia" w:ascii="Times New Roman" w:hAnsi="Times New Roman" w:eastAsia="仿宋_GB2312" w:cs="Times New Roman"/>
          <w:sz w:val="32"/>
          <w:szCs w:val="32"/>
          <w:highlight w:val="none"/>
          <w:lang w:val="en-US" w:eastAsia="zh-CN"/>
        </w:rPr>
        <w:t>2024年收入年初预算数为</w:t>
      </w:r>
      <w:r>
        <w:rPr>
          <w:rFonts w:hint="eastAsia" w:eastAsia="仿宋_GB2312" w:cs="Times New Roman"/>
          <w:sz w:val="32"/>
          <w:szCs w:val="32"/>
          <w:highlight w:val="none"/>
          <w:lang w:val="en-US" w:eastAsia="zh-CN"/>
        </w:rPr>
        <w:t>5,985.11</w:t>
      </w:r>
      <w:r>
        <w:rPr>
          <w:rFonts w:hint="eastAsia" w:ascii="Times New Roman" w:hAnsi="Times New Roman" w:eastAsia="仿宋_GB2312" w:cs="Times New Roman"/>
          <w:sz w:val="32"/>
          <w:szCs w:val="32"/>
          <w:highlight w:val="none"/>
          <w:lang w:val="en-US" w:eastAsia="zh-CN"/>
        </w:rPr>
        <w:t>万元；调整预算数为</w:t>
      </w:r>
      <w:r>
        <w:rPr>
          <w:rFonts w:hint="eastAsia" w:eastAsia="仿宋_GB2312" w:cs="Times New Roman"/>
          <w:sz w:val="32"/>
          <w:szCs w:val="32"/>
          <w:highlight w:val="none"/>
          <w:lang w:val="en-US" w:eastAsia="zh-CN"/>
        </w:rPr>
        <w:t>9,067.52</w:t>
      </w:r>
      <w:r>
        <w:rPr>
          <w:rFonts w:hint="eastAsia" w:ascii="Times New Roman" w:hAnsi="Times New Roman" w:eastAsia="仿宋_GB2312" w:cs="Times New Roman"/>
          <w:sz w:val="32"/>
          <w:szCs w:val="32"/>
          <w:highlight w:val="none"/>
          <w:lang w:val="en-US" w:eastAsia="zh-CN"/>
        </w:rPr>
        <w:t>万元，其中一般公共预算财政拨款收入</w:t>
      </w:r>
      <w:r>
        <w:rPr>
          <w:rFonts w:hint="eastAsia" w:eastAsia="仿宋_GB2312" w:cs="Times New Roman"/>
          <w:sz w:val="32"/>
          <w:szCs w:val="32"/>
          <w:highlight w:val="none"/>
          <w:lang w:val="en-US" w:eastAsia="zh-CN"/>
        </w:rPr>
        <w:t>5,102.49</w:t>
      </w:r>
      <w:r>
        <w:rPr>
          <w:rFonts w:hint="eastAsia" w:ascii="Times New Roman" w:hAnsi="Times New Roman" w:eastAsia="仿宋_GB2312" w:cs="Times New Roman"/>
          <w:sz w:val="32"/>
          <w:szCs w:val="32"/>
          <w:highlight w:val="none"/>
          <w:lang w:val="en-US" w:eastAsia="zh-CN"/>
        </w:rPr>
        <w:t>万元，年初结转和结余</w:t>
      </w:r>
      <w:r>
        <w:rPr>
          <w:rFonts w:hint="eastAsia" w:eastAsia="仿宋_GB2312" w:cs="Times New Roman"/>
          <w:sz w:val="32"/>
          <w:szCs w:val="32"/>
          <w:highlight w:val="none"/>
          <w:lang w:val="en-US" w:eastAsia="zh-CN"/>
        </w:rPr>
        <w:t>882.62</w:t>
      </w:r>
      <w:r>
        <w:rPr>
          <w:rFonts w:hint="eastAsia" w:ascii="Times New Roman" w:hAnsi="Times New Roman" w:eastAsia="仿宋_GB2312" w:cs="Times New Roman"/>
          <w:sz w:val="32"/>
          <w:szCs w:val="32"/>
          <w:highlight w:val="none"/>
          <w:lang w:val="en-US" w:eastAsia="zh-CN"/>
        </w:rPr>
        <w:t>万元；2024年收入预算的调整率为</w:t>
      </w:r>
      <w:r>
        <w:rPr>
          <w:rFonts w:hint="eastAsia" w:eastAsia="仿宋_GB2312" w:cs="Times New Roman"/>
          <w:sz w:val="32"/>
          <w:szCs w:val="32"/>
          <w:highlight w:val="none"/>
          <w:lang w:val="en-US" w:eastAsia="zh-CN"/>
        </w:rPr>
        <w:t>51.50</w:t>
      </w:r>
      <w:r>
        <w:rPr>
          <w:rFonts w:hint="eastAsia" w:ascii="Times New Roman" w:hAnsi="Times New Roman" w:eastAsia="仿宋_GB2312" w:cs="Times New Roman"/>
          <w:sz w:val="32"/>
          <w:szCs w:val="32"/>
          <w:highlight w:val="none"/>
          <w:lang w:val="en-US" w:eastAsia="zh-CN"/>
        </w:rPr>
        <w:t>%。</w:t>
      </w:r>
    </w:p>
    <w:p w14:paraId="69A82B3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lang w:val="en-US" w:eastAsia="zh-CN"/>
        </w:rPr>
        <w:t>县教育局</w:t>
      </w:r>
      <w:r>
        <w:rPr>
          <w:rFonts w:hint="eastAsia" w:ascii="Times New Roman" w:hAnsi="Times New Roman" w:eastAsia="仿宋_GB2312" w:cs="Times New Roman"/>
          <w:sz w:val="32"/>
          <w:szCs w:val="32"/>
          <w:highlight w:val="none"/>
          <w:lang w:val="en-US" w:eastAsia="zh-CN"/>
        </w:rPr>
        <w:t>2024年收入决算数为</w:t>
      </w:r>
      <w:r>
        <w:rPr>
          <w:rFonts w:hint="eastAsia" w:eastAsia="仿宋_GB2312" w:cs="Times New Roman"/>
          <w:sz w:val="32"/>
          <w:szCs w:val="32"/>
          <w:highlight w:val="none"/>
          <w:lang w:val="en-US" w:eastAsia="zh-CN"/>
        </w:rPr>
        <w:t>9,067.52</w:t>
      </w:r>
      <w:r>
        <w:rPr>
          <w:rFonts w:hint="eastAsia" w:ascii="Times New Roman" w:hAnsi="Times New Roman" w:eastAsia="仿宋_GB2312" w:cs="Times New Roman"/>
          <w:sz w:val="32"/>
          <w:szCs w:val="32"/>
          <w:highlight w:val="none"/>
          <w:lang w:val="en-US" w:eastAsia="zh-CN"/>
        </w:rPr>
        <w:t>万元，其中一般公共预算财政拨款收入</w:t>
      </w:r>
      <w:r>
        <w:rPr>
          <w:rFonts w:hint="eastAsia" w:eastAsia="仿宋_GB2312" w:cs="Times New Roman"/>
          <w:sz w:val="32"/>
          <w:szCs w:val="32"/>
          <w:highlight w:val="none"/>
          <w:lang w:val="en-US" w:eastAsia="zh-CN"/>
        </w:rPr>
        <w:t>8,767.52</w:t>
      </w:r>
      <w:r>
        <w:rPr>
          <w:rFonts w:hint="eastAsia" w:ascii="Times New Roman" w:hAnsi="Times New Roman" w:eastAsia="仿宋_GB2312" w:cs="Times New Roman"/>
          <w:sz w:val="32"/>
          <w:szCs w:val="32"/>
          <w:highlight w:val="none"/>
          <w:lang w:val="en-US" w:eastAsia="zh-CN"/>
        </w:rPr>
        <w:t>万元，政府性基金预算财政拨款收入</w:t>
      </w:r>
      <w:r>
        <w:rPr>
          <w:rFonts w:hint="eastAsia" w:eastAsia="仿宋_GB2312" w:cs="Times New Roman"/>
          <w:sz w:val="32"/>
          <w:szCs w:val="32"/>
          <w:highlight w:val="none"/>
          <w:lang w:val="en-US" w:eastAsia="zh-CN"/>
        </w:rPr>
        <w:t>300</w:t>
      </w:r>
      <w:r>
        <w:rPr>
          <w:rFonts w:hint="eastAsia" w:ascii="Times New Roman" w:hAnsi="Times New Roman" w:eastAsia="仿宋_GB2312" w:cs="Times New Roman"/>
          <w:sz w:val="32"/>
          <w:szCs w:val="32"/>
          <w:highlight w:val="none"/>
          <w:lang w:val="en-US" w:eastAsia="zh-CN"/>
        </w:rPr>
        <w:t>万元；完成率100%。</w:t>
      </w:r>
    </w:p>
    <w:p w14:paraId="21911908">
      <w:pPr>
        <w:keepNext w:val="0"/>
        <w:keepLines w:val="0"/>
        <w:pageBreakBefore w:val="0"/>
        <w:widowControl w:val="0"/>
        <w:kinsoku/>
        <w:wordWrap/>
        <w:overflowPunct/>
        <w:topLinePunct w:val="0"/>
        <w:autoSpaceDE/>
        <w:autoSpaceDN/>
        <w:bidi w:val="0"/>
        <w:adjustRightInd w:val="0"/>
        <w:snapToGrid w:val="0"/>
        <w:spacing w:line="560" w:lineRule="exact"/>
        <w:ind w:left="7038" w:leftChars="304" w:right="0" w:rightChars="0" w:hanging="6400" w:hangingChars="20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表1. </w:t>
      </w:r>
      <w:r>
        <w:rPr>
          <w:rFonts w:hint="eastAsia" w:eastAsia="仿宋_GB2312" w:cs="Times New Roman"/>
          <w:sz w:val="32"/>
          <w:szCs w:val="32"/>
          <w:lang w:val="en-US" w:eastAsia="zh-CN"/>
        </w:rPr>
        <w:t>县教育局</w:t>
      </w:r>
      <w:r>
        <w:rPr>
          <w:rFonts w:hint="default" w:ascii="Times New Roman" w:hAnsi="Times New Roman" w:eastAsia="仿宋_GB2312" w:cs="Times New Roman"/>
          <w:sz w:val="32"/>
          <w:szCs w:val="32"/>
          <w:highlight w:val="none"/>
          <w:lang w:val="en-US" w:eastAsia="zh-CN"/>
        </w:rPr>
        <w:t>2024年度收入预算及决算情况表</w:t>
      </w:r>
      <w:r>
        <w:rPr>
          <w:rFonts w:hint="default" w:ascii="Times New Roman" w:hAnsi="Times New Roman" w:eastAsia="仿宋_GB2312" w:cs="Times New Roman"/>
          <w:sz w:val="32"/>
          <w:szCs w:val="32"/>
          <w:highlight w:val="none"/>
          <w:lang w:val="en-US" w:eastAsia="zh-CN"/>
        </w:rPr>
        <w:br w:type="textWrapping"/>
      </w:r>
      <w:r>
        <w:rPr>
          <w:rFonts w:hint="default" w:ascii="Times New Roman" w:hAnsi="Times New Roman" w:eastAsia="仿宋_GB2312" w:cs="Times New Roman"/>
          <w:sz w:val="32"/>
          <w:szCs w:val="32"/>
          <w:highlight w:val="none"/>
          <w:lang w:val="en-US" w:eastAsia="zh-CN"/>
        </w:rPr>
        <w:t>单位：万元</w:t>
      </w:r>
    </w:p>
    <w:tbl>
      <w:tblPr>
        <w:tblStyle w:val="10"/>
        <w:tblW w:w="90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16"/>
        <w:gridCol w:w="1869"/>
        <w:gridCol w:w="1869"/>
        <w:gridCol w:w="1870"/>
      </w:tblGrid>
      <w:tr w14:paraId="2CDF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4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177B1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w:t>
            </w:r>
          </w:p>
        </w:tc>
        <w:tc>
          <w:tcPr>
            <w:tcW w:w="18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4EDEE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年初预算数</w:t>
            </w:r>
          </w:p>
        </w:tc>
        <w:tc>
          <w:tcPr>
            <w:tcW w:w="18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22582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调整预算数</w:t>
            </w:r>
          </w:p>
        </w:tc>
        <w:tc>
          <w:tcPr>
            <w:tcW w:w="18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B9E89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决算数</w:t>
            </w:r>
          </w:p>
        </w:tc>
      </w:tr>
      <w:tr w14:paraId="78B88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563D73C2">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一、一般公共预算财政拨款收入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3DB6405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5,102.49 </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3E5F2921">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8,767.52 </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39A20386">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8,767.52 </w:t>
            </w:r>
          </w:p>
        </w:tc>
      </w:tr>
      <w:tr w14:paraId="42D9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1AE730D0">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二、政府性基金预算财政拨款收入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2931067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76AD9416">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300.00 </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6AACA2F7">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300.00 </w:t>
            </w:r>
          </w:p>
        </w:tc>
      </w:tr>
      <w:tr w14:paraId="15EF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31C6F2A1">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三、国有资本经营预算财政拨款收入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414AD9A4">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1EEF00D5">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374202F5">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r>
      <w:tr w14:paraId="62BF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4E67B5E9">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四、上级补助收入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5E6A020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4237E5E6">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5A2E939F">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r>
      <w:tr w14:paraId="534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53B28505">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五、事业收入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660290A6">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14512E97">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13EDC4D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r>
      <w:tr w14:paraId="49D5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0E23DFB2">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六、经营收入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5D08C7AA">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0827111E">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37996E83">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r>
      <w:tr w14:paraId="0DA2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0095F45D">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七、附属单位上缴收入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31AF71E9">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1FA1F79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295E08F7">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r>
      <w:tr w14:paraId="4E95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38F74308">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八、其他收入</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731BD52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29F2FCAE">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2CC94CEB">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r>
      <w:tr w14:paraId="2BA7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7CFCE44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本年收入合计</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6A7E6862">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5,102.49 </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26142B10">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9,067.52 </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14EB055C">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9,067.52 </w:t>
            </w:r>
          </w:p>
        </w:tc>
      </w:tr>
      <w:tr w14:paraId="3277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60ACC186">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年初结转和结余</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1A7850FD">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882.62  </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2557AF49">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46B23575">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r>
      <w:tr w14:paraId="71E8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16" w:type="dxa"/>
            <w:tcBorders>
              <w:top w:val="nil"/>
              <w:left w:val="single" w:color="000000" w:sz="8" w:space="0"/>
              <w:bottom w:val="single" w:color="000000" w:sz="8" w:space="0"/>
              <w:right w:val="single" w:color="000000" w:sz="8" w:space="0"/>
            </w:tcBorders>
            <w:shd w:val="clear" w:color="auto" w:fill="auto"/>
            <w:noWrap/>
            <w:vAlign w:val="center"/>
          </w:tcPr>
          <w:p w14:paraId="44CBF96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总计</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680115A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5,985.11 </w:t>
            </w:r>
          </w:p>
        </w:tc>
        <w:tc>
          <w:tcPr>
            <w:tcW w:w="1869" w:type="dxa"/>
            <w:tcBorders>
              <w:top w:val="nil"/>
              <w:left w:val="single" w:color="000000" w:sz="8" w:space="0"/>
              <w:bottom w:val="single" w:color="000000" w:sz="8" w:space="0"/>
              <w:right w:val="single" w:color="000000" w:sz="8" w:space="0"/>
            </w:tcBorders>
            <w:shd w:val="clear" w:color="auto" w:fill="auto"/>
            <w:noWrap/>
            <w:vAlign w:val="center"/>
          </w:tcPr>
          <w:p w14:paraId="5A61C4AE">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9,067.52 </w:t>
            </w:r>
          </w:p>
        </w:tc>
        <w:tc>
          <w:tcPr>
            <w:tcW w:w="1870" w:type="dxa"/>
            <w:tcBorders>
              <w:top w:val="nil"/>
              <w:left w:val="single" w:color="000000" w:sz="8" w:space="0"/>
              <w:bottom w:val="single" w:color="000000" w:sz="8" w:space="0"/>
              <w:right w:val="single" w:color="000000" w:sz="8" w:space="0"/>
            </w:tcBorders>
            <w:shd w:val="clear" w:color="auto" w:fill="auto"/>
            <w:noWrap/>
            <w:vAlign w:val="center"/>
          </w:tcPr>
          <w:p w14:paraId="12A83EFF">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9,067.52 </w:t>
            </w:r>
          </w:p>
        </w:tc>
      </w:tr>
    </w:tbl>
    <w:p w14:paraId="5CB2B67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2.支出情况</w:t>
      </w:r>
      <w:r>
        <w:rPr>
          <w:rFonts w:hint="default" w:ascii="Times New Roman" w:hAnsi="Times New Roman" w:eastAsia="仿宋_GB2312" w:cs="Times New Roman"/>
          <w:b/>
          <w:bCs/>
          <w:sz w:val="32"/>
          <w:szCs w:val="32"/>
          <w:highlight w:val="none"/>
        </w:rPr>
        <w:br w:type="textWrapping"/>
      </w:r>
      <w:r>
        <w:rPr>
          <w:rFonts w:hint="default"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lang w:val="en-US" w:eastAsia="zh-CN"/>
        </w:rPr>
        <w:t>县教育局</w:t>
      </w: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年支出预算数为</w:t>
      </w:r>
      <w:r>
        <w:rPr>
          <w:rFonts w:hint="eastAsia" w:eastAsia="仿宋_GB2312" w:cs="Times New Roman"/>
          <w:sz w:val="32"/>
          <w:szCs w:val="32"/>
          <w:highlight w:val="none"/>
          <w:lang w:val="en-US" w:eastAsia="zh-CN"/>
        </w:rPr>
        <w:t>5,985.11</w:t>
      </w:r>
      <w:r>
        <w:rPr>
          <w:rFonts w:hint="eastAsia" w:ascii="Times New Roman" w:hAnsi="Times New Roman" w:eastAsia="仿宋_GB2312" w:cs="Times New Roman"/>
          <w:sz w:val="32"/>
          <w:szCs w:val="32"/>
          <w:highlight w:val="none"/>
        </w:rPr>
        <w:t>万元，调整预算数</w:t>
      </w:r>
      <w:r>
        <w:rPr>
          <w:rFonts w:hint="eastAsia" w:eastAsia="仿宋_GB2312" w:cs="Times New Roman"/>
          <w:sz w:val="32"/>
          <w:szCs w:val="32"/>
          <w:highlight w:val="none"/>
          <w:lang w:val="en-US" w:eastAsia="zh-CN"/>
        </w:rPr>
        <w:t>9,067.52</w:t>
      </w:r>
      <w:r>
        <w:rPr>
          <w:rFonts w:hint="eastAsia" w:ascii="Times New Roman" w:hAnsi="Times New Roman" w:eastAsia="仿宋_GB2312" w:cs="Times New Roman"/>
          <w:sz w:val="32"/>
          <w:szCs w:val="32"/>
          <w:highlight w:val="none"/>
        </w:rPr>
        <w:t>万元，实际支出</w:t>
      </w:r>
      <w:r>
        <w:rPr>
          <w:rFonts w:hint="eastAsia" w:eastAsia="仿宋_GB2312" w:cs="Times New Roman"/>
          <w:sz w:val="32"/>
          <w:szCs w:val="32"/>
          <w:highlight w:val="none"/>
          <w:lang w:val="en-US" w:eastAsia="zh-CN"/>
        </w:rPr>
        <w:t>9,067.52</w:t>
      </w:r>
      <w:r>
        <w:rPr>
          <w:rFonts w:hint="eastAsia" w:ascii="Times New Roman" w:hAnsi="Times New Roman" w:eastAsia="仿宋_GB2312" w:cs="Times New Roman"/>
          <w:sz w:val="32"/>
          <w:szCs w:val="32"/>
          <w:highlight w:val="none"/>
          <w:lang w:eastAsia="zh-CN"/>
        </w:rPr>
        <w:t>万元</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预算执行率</w:t>
      </w:r>
      <w:r>
        <w:rPr>
          <w:rFonts w:hint="eastAsia"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其中：基本支出</w:t>
      </w:r>
      <w:r>
        <w:rPr>
          <w:rFonts w:hint="eastAsia" w:eastAsia="仿宋_GB2312" w:cs="Times New Roman"/>
          <w:sz w:val="32"/>
          <w:szCs w:val="32"/>
          <w:highlight w:val="none"/>
          <w:lang w:val="en-US" w:eastAsia="zh-CN"/>
        </w:rPr>
        <w:t>680.16</w:t>
      </w:r>
      <w:r>
        <w:rPr>
          <w:rFonts w:hint="eastAsia" w:ascii="Times New Roman" w:hAnsi="Times New Roman" w:eastAsia="仿宋_GB2312" w:cs="Times New Roman"/>
          <w:sz w:val="32"/>
          <w:szCs w:val="32"/>
          <w:highlight w:val="none"/>
        </w:rPr>
        <w:t>万元，项目支出</w:t>
      </w:r>
      <w:r>
        <w:rPr>
          <w:rFonts w:hint="eastAsia" w:eastAsia="仿宋_GB2312" w:cs="Times New Roman"/>
          <w:sz w:val="32"/>
          <w:szCs w:val="32"/>
          <w:highlight w:val="none"/>
          <w:lang w:val="en-US" w:eastAsia="zh-CN"/>
        </w:rPr>
        <w:t>8,387.36</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年末</w:t>
      </w:r>
      <w:r>
        <w:rPr>
          <w:rFonts w:hint="eastAsia" w:ascii="Times New Roman" w:hAnsi="Times New Roman" w:eastAsia="仿宋_GB2312" w:cs="Times New Roman"/>
          <w:sz w:val="32"/>
          <w:szCs w:val="32"/>
          <w:highlight w:val="none"/>
        </w:rPr>
        <w:t>结转结余资金</w:t>
      </w:r>
      <w:r>
        <w:rPr>
          <w:rFonts w:hint="eastAsia"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rPr>
        <w:br w:type="textWrapping"/>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表2. </w:t>
      </w:r>
      <w:r>
        <w:rPr>
          <w:rFonts w:hint="eastAsia" w:eastAsia="仿宋_GB2312" w:cs="Times New Roman"/>
          <w:sz w:val="32"/>
          <w:szCs w:val="32"/>
          <w:lang w:val="en-US" w:eastAsia="zh-CN"/>
        </w:rPr>
        <w:t>县教育局</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年度支出预算及决算情况表</w:t>
      </w:r>
    </w:p>
    <w:p w14:paraId="7016C006">
      <w:pPr>
        <w:keepNext w:val="0"/>
        <w:keepLines w:val="0"/>
        <w:pageBreakBefore w:val="0"/>
        <w:widowControl w:val="0"/>
        <w:kinsoku/>
        <w:wordWrap/>
        <w:overflowPunct/>
        <w:topLinePunct w:val="0"/>
        <w:autoSpaceDE/>
        <w:autoSpaceDN/>
        <w:bidi w:val="0"/>
        <w:adjustRightInd w:val="0"/>
        <w:snapToGrid w:val="0"/>
        <w:spacing w:line="560" w:lineRule="exact"/>
        <w:ind w:left="319" w:leftChars="152" w:right="0" w:rightChars="0" w:firstLine="320" w:firstLineChars="1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单位</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万</w:t>
      </w:r>
      <w:r>
        <w:rPr>
          <w:rFonts w:hint="default" w:ascii="Times New Roman" w:hAnsi="Times New Roman" w:eastAsia="仿宋_GB2312" w:cs="Times New Roman"/>
          <w:sz w:val="32"/>
          <w:szCs w:val="32"/>
          <w:highlight w:val="none"/>
        </w:rPr>
        <w:t>元</w:t>
      </w:r>
      <w:r>
        <w:rPr>
          <w:rFonts w:hint="default" w:ascii="Times New Roman" w:hAnsi="Times New Roman" w:eastAsia="仿宋_GB2312" w:cs="Times New Roman"/>
          <w:sz w:val="32"/>
          <w:szCs w:val="32"/>
          <w:highlight w:val="none"/>
        </w:rPr>
        <w:br w:type="textWrapping"/>
      </w:r>
    </w:p>
    <w:tbl>
      <w:tblPr>
        <w:tblStyle w:val="1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16"/>
        <w:gridCol w:w="1161"/>
        <w:gridCol w:w="1161"/>
        <w:gridCol w:w="1161"/>
        <w:gridCol w:w="1161"/>
        <w:gridCol w:w="1164"/>
      </w:tblGrid>
      <w:tr w14:paraId="6A47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blHeader/>
        </w:trPr>
        <w:tc>
          <w:tcPr>
            <w:tcW w:w="32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B3C57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项目</w:t>
            </w:r>
            <w:r>
              <w:rPr>
                <w:rFonts w:hint="eastAsia"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按功能分类</w:t>
            </w:r>
            <w:r>
              <w:rPr>
                <w:rFonts w:hint="eastAsia" w:cs="Times New Roman"/>
                <w:b/>
                <w:bCs/>
                <w:i w:val="0"/>
                <w:iCs w:val="0"/>
                <w:color w:val="000000"/>
                <w:kern w:val="0"/>
                <w:sz w:val="21"/>
                <w:szCs w:val="21"/>
                <w:u w:val="none"/>
                <w:lang w:val="en-US" w:eastAsia="zh-CN" w:bidi="ar"/>
              </w:rPr>
              <w:t>）</w:t>
            </w:r>
          </w:p>
        </w:tc>
        <w:tc>
          <w:tcPr>
            <w:tcW w:w="11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A3BDB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年初预算数</w:t>
            </w:r>
          </w:p>
        </w:tc>
        <w:tc>
          <w:tcPr>
            <w:tcW w:w="11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33C89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调整预算数</w:t>
            </w:r>
          </w:p>
        </w:tc>
        <w:tc>
          <w:tcPr>
            <w:tcW w:w="11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A830B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占比</w:t>
            </w:r>
          </w:p>
        </w:tc>
        <w:tc>
          <w:tcPr>
            <w:tcW w:w="11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17499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决算数</w:t>
            </w:r>
          </w:p>
        </w:tc>
        <w:tc>
          <w:tcPr>
            <w:tcW w:w="116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C6779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决算执行率</w:t>
            </w:r>
          </w:p>
        </w:tc>
      </w:tr>
      <w:tr w14:paraId="3B7D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66280C6C">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一、一般公共服务支出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4728423">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20804E2">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86D5574">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D9D3F81">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66EB35F0">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0825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A7C79FB">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二、外交支出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04010C5">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6077199">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1D7672F">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B9FF609">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F5074FA">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5464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76528E53">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三、国防支出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626FF82">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FE337E5">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94BCF07">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016DC0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ABF7EA5">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384D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9DE1C6A">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四、公共安全支出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935B05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092AAAC">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ECCC1AD">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C672EA1">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A7C2A75">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6066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69B81020">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五、教育支出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30C2512">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5,853.42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FC59936">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8,643.90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E3697E4">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95.33%</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DBB03AB">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8,643.90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DC89D01">
            <w:pPr>
              <w:keepNext w:val="0"/>
              <w:keepLines w:val="0"/>
              <w:pageBreakBefore w:val="0"/>
              <w:widowControl/>
              <w:suppressLineNumbers w:val="0"/>
              <w:kinsoku/>
              <w:wordWrap/>
              <w:overflowPunct/>
              <w:topLinePunct w:val="0"/>
              <w:autoSpaceDE/>
              <w:autoSpaceDN/>
              <w:bidi w:val="0"/>
              <w:spacing w:line="560" w:lineRule="exact"/>
              <w:jc w:val="righ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1550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0F44D5D2">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六、科学技术支出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82102E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C28F5CF">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2E5D4DD">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A889E21">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0274FDE4">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3246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570D74EE">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七、文化旅游体育与传媒支出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FBEE2E6">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795AAB1">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A09F20F">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F118555">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1C4B9F16">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0BEE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5D85369C">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八、社会保障和就业支出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404CD6B">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74.61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139E696">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74.61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BA917FF">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0.82%</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C12D537">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74.61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5F7EC0A">
            <w:pPr>
              <w:keepNext w:val="0"/>
              <w:keepLines w:val="0"/>
              <w:pageBreakBefore w:val="0"/>
              <w:widowControl/>
              <w:suppressLineNumbers w:val="0"/>
              <w:kinsoku/>
              <w:wordWrap/>
              <w:overflowPunct/>
              <w:topLinePunct w:val="0"/>
              <w:autoSpaceDE/>
              <w:autoSpaceDN/>
              <w:bidi w:val="0"/>
              <w:spacing w:line="560" w:lineRule="exact"/>
              <w:jc w:val="righ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5FB2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2C159A0">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九、卫生健康支出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3A2798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15.34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0F9B5BE">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15.34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94D01C7">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3787C9F">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15.34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694234C">
            <w:pPr>
              <w:keepNext w:val="0"/>
              <w:keepLines w:val="0"/>
              <w:pageBreakBefore w:val="0"/>
              <w:widowControl/>
              <w:suppressLineNumbers w:val="0"/>
              <w:kinsoku/>
              <w:wordWrap/>
              <w:overflowPunct/>
              <w:topLinePunct w:val="0"/>
              <w:autoSpaceDE/>
              <w:autoSpaceDN/>
              <w:bidi w:val="0"/>
              <w:spacing w:line="560" w:lineRule="exact"/>
              <w:jc w:val="righ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65558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6647C68">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十、节能环保支出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2919811">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B12259B">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7ADF246">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39BDDE7">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0224EC3D">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109CA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54A039D2">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十一、城乡社区支出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30B44BB">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67A99AE">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D576C80">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6302EA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08D12C9D">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48BF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64E9220D">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十二、农林水支出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BE6DC14">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0015EE0">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BB16C3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446A0DF">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3B8287C0">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63CA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5F13DDEF">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十三、交通运输支出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536AC34">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40058D1">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46EE2FD">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7E44D4E">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B4ACBBB">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5B63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6E629DD6">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十四、资源勘探工业信息等支出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81300C2">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88A6B8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039F939">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A54F96C">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4B5D18F1">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3872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862D381">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十五、商业服务业等支出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E2C3619">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0818827">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82BB956">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2515D55">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74A5833A">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3051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722415F5">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十六、金融支出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4EFC6D3">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16D20AE">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AE99A71">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B1EE0BE">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65753AE1">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5465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1164CE76">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十七、援助其他地区支出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CD353ED">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3CD6B77">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414959C">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4CF1463">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DE89DE8">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705C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D6F1025">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十八、自然资源海洋气象等支出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A6ADCC3">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9FB232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BD5FECB">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4D3A56D">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7748C79C">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7BBA8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95F5D72">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十九、住房保障支出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ABCFFB2">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41.73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2190281">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33.67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D5E9EE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0.37%</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976C8A0">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33.67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03F41603">
            <w:pPr>
              <w:keepNext w:val="0"/>
              <w:keepLines w:val="0"/>
              <w:pageBreakBefore w:val="0"/>
              <w:widowControl/>
              <w:suppressLineNumbers w:val="0"/>
              <w:kinsoku/>
              <w:wordWrap/>
              <w:overflowPunct/>
              <w:topLinePunct w:val="0"/>
              <w:autoSpaceDE/>
              <w:autoSpaceDN/>
              <w:bidi w:val="0"/>
              <w:spacing w:line="560" w:lineRule="exact"/>
              <w:jc w:val="right"/>
              <w:textAlignment w:val="bottom"/>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3283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1BD39BC7">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二十、粮油物资储备支出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80B5F13">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70FEF04">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E76EC75">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D8AE2B9">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328B186A">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05A74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60C05579">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二十一、国有资本经营预算支出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7489624">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56CAFFA">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5545322">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F0C4EA2">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766030F">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7F1F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130811C">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二十二、灾害防治及应急管理支出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7D8CEF7">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EEF6A85">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7E5C01D4">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57D9347">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0F84167">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769A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7BA35AA6">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二十三、其他支出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7D6BC52">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DFE2DE1">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300.00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2614CBE">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3.31%</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6EDE326">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300.00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332F9DDA">
            <w:pPr>
              <w:keepNext w:val="0"/>
              <w:keepLines w:val="0"/>
              <w:pageBreakBefore w:val="0"/>
              <w:widowControl/>
              <w:suppressLineNumbers w:val="0"/>
              <w:kinsoku/>
              <w:wordWrap/>
              <w:overflowPunct/>
              <w:topLinePunct w:val="0"/>
              <w:autoSpaceDE/>
              <w:autoSpaceDN/>
              <w:bidi w:val="0"/>
              <w:spacing w:line="560" w:lineRule="exact"/>
              <w:jc w:val="righ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r w14:paraId="48C6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4E67CCEA">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二十四、债务还本支出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D300E87">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3A9C73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FB1F045">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6BF34525">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44563EDF">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6088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1C95CE9E">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二十五、债务付息支出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18E11704">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2ABEF013">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583227E2">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87026DF">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BA0C57B">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6B65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57176E02">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二十六、抗疫特别国债安排的支出</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CCC7595">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147FF3E">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DAB8ADF">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EB5DB35">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254EEA8F">
            <w:pPr>
              <w:keepNext w:val="0"/>
              <w:keepLines w:val="0"/>
              <w:pageBreakBefore w:val="0"/>
              <w:kinsoku/>
              <w:wordWrap/>
              <w:overflowPunct/>
              <w:topLinePunct w:val="0"/>
              <w:autoSpaceDE/>
              <w:autoSpaceDN/>
              <w:bidi w:val="0"/>
              <w:spacing w:line="560" w:lineRule="exact"/>
              <w:jc w:val="right"/>
              <w:rPr>
                <w:rFonts w:hint="default" w:ascii="Times New Roman" w:hAnsi="Times New Roman" w:eastAsia="宋体" w:cs="Times New Roman"/>
                <w:i w:val="0"/>
                <w:iCs w:val="0"/>
                <w:color w:val="000000"/>
                <w:sz w:val="21"/>
                <w:szCs w:val="21"/>
                <w:u w:val="none"/>
              </w:rPr>
            </w:pPr>
          </w:p>
        </w:tc>
      </w:tr>
      <w:tr w14:paraId="404C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216" w:type="dxa"/>
            <w:tcBorders>
              <w:top w:val="nil"/>
              <w:left w:val="single" w:color="000000" w:sz="8" w:space="0"/>
              <w:bottom w:val="single" w:color="000000" w:sz="8" w:space="0"/>
              <w:right w:val="single" w:color="000000" w:sz="8" w:space="0"/>
            </w:tcBorders>
            <w:shd w:val="clear" w:color="auto" w:fill="auto"/>
            <w:noWrap/>
            <w:vAlign w:val="center"/>
          </w:tcPr>
          <w:p w14:paraId="11220AC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合计</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03497528">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5,985.11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4F1E6B6">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9,067.52 </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353FB445">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100.00%</w:t>
            </w:r>
          </w:p>
        </w:tc>
        <w:tc>
          <w:tcPr>
            <w:tcW w:w="1161" w:type="dxa"/>
            <w:tcBorders>
              <w:top w:val="nil"/>
              <w:left w:val="single" w:color="000000" w:sz="8" w:space="0"/>
              <w:bottom w:val="single" w:color="000000" w:sz="8" w:space="0"/>
              <w:right w:val="single" w:color="000000" w:sz="8" w:space="0"/>
            </w:tcBorders>
            <w:shd w:val="clear" w:color="auto" w:fill="auto"/>
            <w:noWrap/>
            <w:vAlign w:val="center"/>
          </w:tcPr>
          <w:p w14:paraId="43F1BB0A">
            <w:pPr>
              <w:keepNext w:val="0"/>
              <w:keepLines w:val="0"/>
              <w:pageBreakBefore w:val="0"/>
              <w:widowControl/>
              <w:suppressLineNumbers w:val="0"/>
              <w:kinsoku/>
              <w:wordWrap/>
              <w:overflowPunct/>
              <w:topLinePunct w:val="0"/>
              <w:autoSpaceDE/>
              <w:autoSpaceDN/>
              <w:bidi w:val="0"/>
              <w:spacing w:line="560" w:lineRule="exact"/>
              <w:jc w:val="right"/>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9,067.52 </w:t>
            </w:r>
          </w:p>
        </w:tc>
        <w:tc>
          <w:tcPr>
            <w:tcW w:w="1164" w:type="dxa"/>
            <w:tcBorders>
              <w:top w:val="nil"/>
              <w:left w:val="single" w:color="000000" w:sz="8" w:space="0"/>
              <w:bottom w:val="single" w:color="000000" w:sz="8" w:space="0"/>
              <w:right w:val="single" w:color="000000" w:sz="8" w:space="0"/>
            </w:tcBorders>
            <w:shd w:val="clear" w:color="auto" w:fill="auto"/>
            <w:noWrap/>
            <w:vAlign w:val="bottom"/>
          </w:tcPr>
          <w:p w14:paraId="5A3F0912">
            <w:pPr>
              <w:keepNext w:val="0"/>
              <w:keepLines w:val="0"/>
              <w:pageBreakBefore w:val="0"/>
              <w:widowControl/>
              <w:suppressLineNumbers w:val="0"/>
              <w:kinsoku/>
              <w:wordWrap/>
              <w:overflowPunct/>
              <w:topLinePunct w:val="0"/>
              <w:autoSpaceDE/>
              <w:autoSpaceDN/>
              <w:bidi w:val="0"/>
              <w:spacing w:line="560" w:lineRule="exact"/>
              <w:jc w:val="right"/>
              <w:textAlignment w:val="bottom"/>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w:t>
            </w:r>
          </w:p>
        </w:tc>
      </w:tr>
    </w:tbl>
    <w:p w14:paraId="728A497D">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rPr>
      </w:pPr>
      <w:bookmarkStart w:id="8" w:name="_Toc25847"/>
      <w:r>
        <w:rPr>
          <w:rFonts w:hint="eastAsia" w:ascii="楷体_GB2312" w:hAnsi="楷体_GB2312" w:eastAsia="楷体_GB2312" w:cs="楷体_GB2312"/>
        </w:rPr>
        <w:t>（三）部门整体支出绩效目标及完成情况</w:t>
      </w:r>
      <w:bookmarkEnd w:id="8"/>
    </w:p>
    <w:p w14:paraId="78843FE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707" w:firstLineChars="220"/>
        <w:textAlignment w:val="auto"/>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eastAsia="仿宋_GB2312" w:cs="Times New Roman"/>
          <w:b/>
          <w:bCs/>
          <w:sz w:val="32"/>
          <w:szCs w:val="32"/>
          <w:highlight w:val="none"/>
        </w:rPr>
        <w:t>1.部门年度主要</w:t>
      </w:r>
      <w:r>
        <w:rPr>
          <w:rFonts w:hint="eastAsia" w:ascii="Times New Roman" w:hAnsi="Times New Roman" w:eastAsia="仿宋_GB2312" w:cs="Times New Roman"/>
          <w:b/>
          <w:bCs/>
          <w:kern w:val="0"/>
          <w:sz w:val="32"/>
          <w:szCs w:val="32"/>
          <w:highlight w:val="none"/>
          <w:lang w:val="en-US" w:eastAsia="zh-CN" w:bidi="ar-SA"/>
        </w:rPr>
        <w:t>任务及完成情况</w:t>
      </w:r>
    </w:p>
    <w:p w14:paraId="33883C7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eastAsia="仿宋_GB2312" w:cs="Times New Roman"/>
          <w:b w:val="0"/>
          <w:bCs/>
          <w:kern w:val="0"/>
          <w:sz w:val="32"/>
          <w:szCs w:val="32"/>
          <w:highlight w:val="none"/>
          <w:lang w:val="en-US" w:eastAsia="zh-CN" w:bidi="ar-SA"/>
        </w:rPr>
      </w:pPr>
      <w:r>
        <w:rPr>
          <w:rFonts w:hint="eastAsia" w:eastAsia="仿宋_GB2312" w:cs="Times New Roman"/>
          <w:b w:val="0"/>
          <w:bCs/>
          <w:kern w:val="0"/>
          <w:sz w:val="32"/>
          <w:szCs w:val="32"/>
          <w:highlight w:val="none"/>
          <w:lang w:val="en-US" w:eastAsia="zh-CN" w:bidi="ar-SA"/>
        </w:rPr>
        <w:t>（1）休宁县海阳第四小学项目年度实际投入资金3,060.00万元（含土地划拨费用1,164.23万元）。项目总占地54亩（36000平方米），总建筑面积22500平方米，规划48个教学班，可容纳2000名学生。建设内容包括围墙、大门、操场、给排水系统及教学设备采购等配套设施，总投资1.2亿元。截至2025年7月初，主体工程已基本完工。</w:t>
      </w:r>
    </w:p>
    <w:p w14:paraId="3CD895F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eastAsia="仿宋_GB2312" w:cs="Times New Roman"/>
          <w:b w:val="0"/>
          <w:bCs/>
          <w:kern w:val="0"/>
          <w:sz w:val="32"/>
          <w:szCs w:val="32"/>
          <w:highlight w:val="none"/>
          <w:lang w:val="en-US" w:eastAsia="zh-CN" w:bidi="ar-SA"/>
        </w:rPr>
      </w:pPr>
      <w:r>
        <w:rPr>
          <w:rFonts w:hint="eastAsia" w:eastAsia="仿宋_GB2312" w:cs="Times New Roman"/>
          <w:b w:val="0"/>
          <w:bCs/>
          <w:kern w:val="0"/>
          <w:sz w:val="32"/>
          <w:szCs w:val="32"/>
          <w:highlight w:val="none"/>
          <w:lang w:val="en-US" w:eastAsia="zh-CN" w:bidi="ar-SA"/>
        </w:rPr>
        <w:t>（2）政府购买民办学校学位项目实际支出437.29万元，依据《休宁县政府购买义务教育阶段民办学校学位实施方案》（休政办秘〔2024〕20号），通过财政一般公共预算安排资金，按学费50%的标准购买学位1423个（小学610个、中学813个），有效增加公办学位供给。</w:t>
      </w:r>
    </w:p>
    <w:p w14:paraId="04B05F2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eastAsia="仿宋_GB2312" w:cs="Times New Roman"/>
          <w:b w:val="0"/>
          <w:bCs/>
          <w:kern w:val="0"/>
          <w:sz w:val="32"/>
          <w:szCs w:val="32"/>
          <w:highlight w:val="none"/>
          <w:lang w:val="en-US" w:eastAsia="zh-CN" w:bidi="ar-SA"/>
        </w:rPr>
      </w:pPr>
      <w:r>
        <w:rPr>
          <w:rFonts w:hint="eastAsia" w:eastAsia="仿宋_GB2312" w:cs="Times New Roman"/>
          <w:b w:val="0"/>
          <w:bCs/>
          <w:kern w:val="0"/>
          <w:sz w:val="32"/>
          <w:szCs w:val="32"/>
          <w:highlight w:val="none"/>
          <w:lang w:val="en-US" w:eastAsia="zh-CN" w:bidi="ar-SA"/>
        </w:rPr>
        <w:t>（3）代课教师经费项目实际支出920.50万元。因在编教师不足（核定岗位1296个，实际在编1261名），叠加51名教师因病离岗、60余名教师生育休假及87名教师退休等因素，义务教育阶段聘用编外教师148名，学前教育配备93名代课教师及63名保育员，项目资金专项用于支付其工资待遇。</w:t>
      </w:r>
    </w:p>
    <w:p w14:paraId="6DD851E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eastAsia="仿宋_GB2312" w:cs="Times New Roman"/>
          <w:b w:val="0"/>
          <w:bCs/>
          <w:kern w:val="0"/>
          <w:sz w:val="32"/>
          <w:szCs w:val="32"/>
          <w:highlight w:val="none"/>
          <w:lang w:val="en-US" w:eastAsia="zh-CN" w:bidi="ar-SA"/>
        </w:rPr>
      </w:pPr>
      <w:r>
        <w:rPr>
          <w:rFonts w:hint="eastAsia" w:eastAsia="仿宋_GB2312" w:cs="Times New Roman"/>
          <w:b w:val="0"/>
          <w:bCs/>
          <w:kern w:val="0"/>
          <w:sz w:val="32"/>
          <w:szCs w:val="32"/>
          <w:highlight w:val="none"/>
          <w:lang w:val="en-US" w:eastAsia="zh-CN" w:bidi="ar-SA"/>
        </w:rPr>
        <w:t>（4）免费教科书及教辅材料支出304.21万元，其中地方教材支出36.46万元，追加地方教材资金6.64万元，2023年秋季学期免费教辅材料支出261.11万元。</w:t>
      </w:r>
    </w:p>
    <w:p w14:paraId="34A3D83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eastAsia="仿宋_GB2312" w:cs="Times New Roman"/>
          <w:b w:val="0"/>
          <w:bCs/>
          <w:kern w:val="0"/>
          <w:sz w:val="32"/>
          <w:szCs w:val="32"/>
          <w:highlight w:val="none"/>
          <w:lang w:val="en-US" w:eastAsia="zh-CN" w:bidi="ar-SA"/>
        </w:rPr>
      </w:pPr>
      <w:r>
        <w:rPr>
          <w:rFonts w:hint="eastAsia" w:eastAsia="仿宋_GB2312" w:cs="Times New Roman"/>
          <w:b w:val="0"/>
          <w:bCs/>
          <w:kern w:val="0"/>
          <w:sz w:val="32"/>
          <w:szCs w:val="32"/>
          <w:highlight w:val="none"/>
          <w:lang w:val="en-US" w:eastAsia="zh-CN" w:bidi="ar-SA"/>
        </w:rPr>
        <w:t>（5）智慧课堂建设项目支出184.62万元。根据安徽省智慧学校建设规划，持续推进20所城镇中小学（小学13所、初中5所、高中2所）智慧课堂建设，预计总投入1000万元（分5年实施），该项目已纳入省、市、县三级政府目标考核。</w:t>
      </w:r>
    </w:p>
    <w:p w14:paraId="057FD5D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eastAsia="仿宋_GB2312" w:cs="Times New Roman"/>
          <w:b w:val="0"/>
          <w:bCs/>
          <w:kern w:val="0"/>
          <w:sz w:val="32"/>
          <w:szCs w:val="32"/>
          <w:highlight w:val="none"/>
          <w:lang w:val="en-US" w:eastAsia="zh-CN" w:bidi="ar-SA"/>
        </w:rPr>
      </w:pPr>
      <w:r>
        <w:rPr>
          <w:rFonts w:hint="eastAsia" w:eastAsia="仿宋_GB2312" w:cs="Times New Roman"/>
          <w:b w:val="0"/>
          <w:bCs/>
          <w:kern w:val="0"/>
          <w:sz w:val="32"/>
          <w:szCs w:val="32"/>
          <w:highlight w:val="none"/>
          <w:lang w:val="en-US" w:eastAsia="zh-CN" w:bidi="ar-SA"/>
        </w:rPr>
        <w:t>（6）农村原民办教师教龄补助支出120万元，通过城乡居民养老保险渠道按月发放，解决其养老保障问题。县级教育部门负责身份及教龄认定，财政、人社部门协同落实资金拨付与发放。</w:t>
      </w:r>
    </w:p>
    <w:p w14:paraId="38BA8A4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eastAsia="仿宋_GB2312" w:cs="Times New Roman"/>
          <w:b w:val="0"/>
          <w:bCs/>
          <w:kern w:val="0"/>
          <w:sz w:val="32"/>
          <w:szCs w:val="32"/>
          <w:highlight w:val="none"/>
          <w:lang w:val="en-US" w:eastAsia="zh-CN" w:bidi="ar-SA"/>
        </w:rPr>
      </w:pPr>
      <w:r>
        <w:rPr>
          <w:rFonts w:hint="eastAsia" w:eastAsia="仿宋_GB2312" w:cs="Times New Roman"/>
          <w:b w:val="0"/>
          <w:bCs/>
          <w:kern w:val="0"/>
          <w:sz w:val="32"/>
          <w:szCs w:val="32"/>
          <w:highlight w:val="none"/>
          <w:lang w:val="en-US" w:eastAsia="zh-CN" w:bidi="ar-SA"/>
        </w:rPr>
        <w:t>（7）学校运转补助支出276.13万元，用于保障教育投入“两个只增不减”，确保学校正常运转。</w:t>
      </w:r>
    </w:p>
    <w:p w14:paraId="35AF0AC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eastAsia="仿宋_GB2312" w:cs="Times New Roman"/>
          <w:b w:val="0"/>
          <w:bCs/>
          <w:kern w:val="0"/>
          <w:sz w:val="32"/>
          <w:szCs w:val="32"/>
          <w:highlight w:val="none"/>
          <w:lang w:val="en-US" w:eastAsia="zh-CN" w:bidi="ar-SA"/>
        </w:rPr>
        <w:t>（8）农村学校教学设施提升工程总投入1,870.16万元，涵盖校舍维修及设备购置345.35万元、中央农村校舍安全保障补助543.60万元、学前教育发展资金274.93万元、义务教育薄弱环节改善资金519.97万元、省级校舍安全保障补助186.32万元。全年实施22个校园建设项目（总投资921万元，中标价629.63万元），重点完成璜尖小学教学楼改造、海阳一小附属工程、齐云山小学维修等项目，显著改善农村办学条件。</w:t>
      </w:r>
      <w:r>
        <w:rPr>
          <w:rFonts w:hint="eastAsia" w:eastAsia="仿宋_GB2312" w:cs="Times New Roman"/>
          <w:b w:val="0"/>
          <w:bCs/>
          <w:kern w:val="0"/>
          <w:sz w:val="32"/>
          <w:szCs w:val="32"/>
          <w:highlight w:val="none"/>
          <w:lang w:val="en-US" w:eastAsia="zh-CN" w:bidi="ar-SA"/>
        </w:rPr>
        <w:br w:type="textWrapping"/>
      </w:r>
      <w:r>
        <w:rPr>
          <w:rFonts w:hint="default" w:ascii="Times New Roman" w:hAnsi="Times New Roman" w:eastAsia="仿宋_GB2312" w:cs="Times New Roman"/>
          <w:b w:val="0"/>
          <w:bCs/>
          <w:kern w:val="0"/>
          <w:sz w:val="32"/>
          <w:szCs w:val="32"/>
          <w:highlight w:val="none"/>
          <w:lang w:val="en-US" w:eastAsia="zh-CN" w:bidi="ar-SA"/>
        </w:rPr>
        <w:t xml:space="preserve">   </w:t>
      </w:r>
      <w:r>
        <w:rPr>
          <w:rFonts w:hint="default" w:ascii="Times New Roman" w:hAnsi="Times New Roman" w:eastAsia="仿宋_GB2312" w:cs="Times New Roman"/>
          <w:b w:val="0"/>
          <w:bCs/>
          <w:kern w:val="0"/>
          <w:sz w:val="32"/>
          <w:szCs w:val="32"/>
          <w:lang w:val="en-US" w:eastAsia="zh-CN" w:bidi="ar-SA"/>
        </w:rPr>
        <w:t xml:space="preserve"> </w:t>
      </w:r>
      <w:r>
        <w:rPr>
          <w:rFonts w:hint="default" w:ascii="Times New Roman" w:hAnsi="Times New Roman" w:eastAsia="仿宋_GB2312" w:cs="Times New Roman"/>
          <w:b/>
          <w:bCs w:val="0"/>
          <w:kern w:val="0"/>
          <w:sz w:val="32"/>
          <w:szCs w:val="32"/>
          <w:lang w:val="en-US" w:eastAsia="zh-CN" w:bidi="ar-SA"/>
        </w:rPr>
        <w:t>2.部门年度总体目标及完成情况</w:t>
      </w:r>
      <w:r>
        <w:rPr>
          <w:rFonts w:hint="default" w:ascii="Times New Roman" w:hAnsi="Times New Roman" w:eastAsia="仿宋_GB2312" w:cs="Times New Roman"/>
          <w:b/>
          <w:bCs w:val="0"/>
          <w:kern w:val="0"/>
          <w:sz w:val="32"/>
          <w:szCs w:val="32"/>
          <w:lang w:val="en-US" w:eastAsia="zh-CN" w:bidi="ar-SA"/>
        </w:rPr>
        <w:br w:type="textWrapping"/>
      </w:r>
      <w:r>
        <w:rPr>
          <w:rFonts w:hint="default" w:ascii="Times New Roman" w:hAnsi="Times New Roman" w:eastAsia="仿宋_GB2312" w:cs="Times New Roman"/>
          <w:b w:val="0"/>
          <w:bCs/>
          <w:kern w:val="0"/>
          <w:sz w:val="32"/>
          <w:szCs w:val="32"/>
          <w:lang w:val="en-US" w:eastAsia="zh-CN" w:bidi="ar-SA"/>
        </w:rPr>
        <w:t xml:space="preserve">  </w:t>
      </w:r>
      <w:r>
        <w:rPr>
          <w:rFonts w:hint="eastAsia" w:ascii="Times New Roman" w:hAnsi="Times New Roman" w:eastAsia="仿宋_GB2312" w:cs="Times New Roman"/>
          <w:b w:val="0"/>
          <w:bCs/>
          <w:kern w:val="0"/>
          <w:sz w:val="32"/>
          <w:szCs w:val="32"/>
          <w:lang w:val="en-US" w:eastAsia="zh-CN" w:bidi="ar-SA"/>
        </w:rPr>
        <w:t xml:space="preserve"> </w:t>
      </w:r>
      <w:r>
        <w:rPr>
          <w:rFonts w:hint="eastAsia" w:ascii="Times New Roman" w:hAnsi="Times New Roman" w:eastAsia="仿宋_GB2312" w:cs="Times New Roman"/>
          <w:b w:val="0"/>
          <w:bCs w:val="0"/>
          <w:sz w:val="32"/>
          <w:szCs w:val="32"/>
          <w:lang w:val="en-US" w:eastAsia="zh-CN"/>
        </w:rPr>
        <w:t>（1）部门年度总体目标</w:t>
      </w:r>
      <w:r>
        <w:rPr>
          <w:rFonts w:hint="eastAsia"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来源绩效自评表）。</w:t>
      </w:r>
      <w:r>
        <w:rPr>
          <w:rFonts w:hint="eastAsia" w:ascii="Times New Roman" w:hAnsi="Times New Roman" w:eastAsia="仿宋_GB2312" w:cs="Times New Roman"/>
          <w:b w:val="0"/>
          <w:bCs w:val="0"/>
          <w:sz w:val="32"/>
          <w:szCs w:val="32"/>
          <w:highlight w:val="none"/>
          <w:lang w:val="en-US" w:eastAsia="zh-CN"/>
        </w:rPr>
        <w:t>加快项目建设，优化城乡办学条件，持续加大向上级争取项目资金的力度。增加投入，推进新建海阳一小教学楼、续建徽匠学校实训楼、城东幼儿园等一批重点项目建设，提升城区学校的办学能力。实施学前教育提升行动计划，着力改善公办幼儿园的办学条件，强化对看护点的整治，全面完成“无证园”的治理工作。加速推进乡村中小学“智慧学校”建设，提升教育信息化水平。支持新教育等民办学校的发展壮大。加强教育规范化管理，提高教育教学质量。推进教学联盟活动，建立健全课堂教学评价量化体系；推动普通高中多样化特色发展，扎实做好高考课程改革工作，力争高考成绩再创佳绩；全力支持徽匠学校通过省级B类中等专业学校办学水平评估，为黄山健康职业学院的办学提供优质服务</w:t>
      </w:r>
      <w:r>
        <w:rPr>
          <w:rFonts w:hint="default" w:ascii="Times New Roman" w:hAnsi="Times New Roman" w:eastAsia="仿宋_GB2312" w:cs="Times New Roman"/>
          <w:b w:val="0"/>
          <w:bCs w:val="0"/>
          <w:sz w:val="32"/>
          <w:szCs w:val="32"/>
          <w:highlight w:val="none"/>
          <w:lang w:val="en-US" w:eastAsia="zh-CN"/>
        </w:rPr>
        <w:t>。</w:t>
      </w:r>
    </w:p>
    <w:p w14:paraId="7868C896">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（2）</w:t>
      </w:r>
      <w:r>
        <w:rPr>
          <w:rFonts w:hint="default" w:ascii="Times New Roman" w:hAnsi="Times New Roman" w:eastAsia="仿宋_GB2312" w:cs="Times New Roman"/>
          <w:b/>
          <w:bCs/>
          <w:sz w:val="32"/>
          <w:szCs w:val="32"/>
          <w:lang w:val="en-US" w:eastAsia="zh-CN"/>
        </w:rPr>
        <w:t>年度总体目标完成情况。</w:t>
      </w:r>
      <w:r>
        <w:rPr>
          <w:rFonts w:hint="default" w:ascii="Times New Roman" w:hAnsi="Times New Roman" w:eastAsia="仿宋_GB2312" w:cs="Times New Roman"/>
          <w:b/>
          <w:bCs/>
          <w:sz w:val="32"/>
          <w:szCs w:val="32"/>
          <w:lang w:val="en-US" w:eastAsia="zh-CN"/>
        </w:rPr>
        <w:br w:type="textWrapping"/>
      </w: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 2024年县教育局全</w:t>
      </w:r>
      <w:r>
        <w:rPr>
          <w:rFonts w:hint="eastAsia" w:eastAsia="仿宋_GB2312" w:cs="Times New Roman"/>
          <w:b w:val="0"/>
          <w:bCs w:val="0"/>
          <w:sz w:val="32"/>
          <w:szCs w:val="32"/>
          <w:lang w:val="en-US" w:eastAsia="zh-CN"/>
        </w:rPr>
        <w:t>力</w:t>
      </w:r>
      <w:r>
        <w:rPr>
          <w:rFonts w:hint="eastAsia" w:ascii="Times New Roman" w:hAnsi="Times New Roman" w:eastAsia="仿宋_GB2312" w:cs="Times New Roman"/>
          <w:b w:val="0"/>
          <w:bCs w:val="0"/>
          <w:sz w:val="32"/>
          <w:szCs w:val="32"/>
          <w:lang w:val="en-US" w:eastAsia="zh-CN"/>
        </w:rPr>
        <w:t>改善城乡办学条件。在乡村学校建设方面，实施了海阳二小教学楼教室改造、海阳中学男生宿舍前地面硬化、洪里小学运动场改造等项目；在城区教育提升方面，新建了海阳一小教学楼，续建徽匠学校实训楼和城东幼儿园等重点工程。学前教育领域通过提升行动计划和看护点整治，完成“无证园”治理，改善公办园办学条件。教育信息化建设实现乡村中小学“智慧学校”全覆盖，同时支持新教育等民办学校发展。在教学改革方面，巩固消除大班额成果，推进教学联盟活动，建立课堂教学评价体系；推动高中特色发展，做好高考改革工作；支持徽匠学校通过省级B类中职评估，并服务黄山健康职业学院办学发展，全面提升县域教育质量。</w:t>
      </w:r>
    </w:p>
    <w:p w14:paraId="37C07778">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3.部门年度绩效指标及完成情况。</w:t>
      </w:r>
    </w:p>
    <w:p w14:paraId="161C1753">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jc w:val="both"/>
        <w:textAlignment w:val="auto"/>
        <w:rPr>
          <w:rFonts w:hint="default" w:ascii="Times New Roman" w:hAnsi="Times New Roman" w:eastAsia="仿宋_GB2312" w:cs="Times New Roman"/>
          <w:b w:val="0"/>
          <w:bCs/>
          <w:sz w:val="32"/>
          <w:szCs w:val="32"/>
          <w:highlight w:val="none"/>
        </w:rPr>
      </w:pPr>
      <w:r>
        <w:rPr>
          <w:rFonts w:hint="eastAsia" w:eastAsia="仿宋_GB2312" w:cs="Times New Roman"/>
          <w:b w:val="0"/>
          <w:bCs w:val="0"/>
          <w:sz w:val="32"/>
          <w:szCs w:val="32"/>
          <w:lang w:val="en-US" w:eastAsia="zh-CN"/>
        </w:rPr>
        <w:t>休宁</w:t>
      </w:r>
      <w:r>
        <w:rPr>
          <w:rFonts w:hint="eastAsia" w:ascii="Times New Roman" w:hAnsi="Times New Roman" w:eastAsia="仿宋_GB2312" w:cs="Times New Roman"/>
          <w:b w:val="0"/>
          <w:bCs w:val="0"/>
          <w:sz w:val="32"/>
          <w:szCs w:val="32"/>
          <w:lang w:val="en-US" w:eastAsia="zh-CN"/>
        </w:rPr>
        <w:t>县教育局</w:t>
      </w:r>
      <w:r>
        <w:rPr>
          <w:rFonts w:hint="default" w:ascii="Times New Roman" w:hAnsi="Times New Roman" w:eastAsia="仿宋_GB2312" w:cs="Times New Roman"/>
          <w:b w:val="0"/>
          <w:bCs/>
          <w:sz w:val="32"/>
          <w:szCs w:val="32"/>
          <w:highlight w:val="none"/>
        </w:rPr>
        <w:t>部门整体支出主要绩效指标完成情况表</w:t>
      </w:r>
    </w:p>
    <w:tbl>
      <w:tblPr>
        <w:tblStyle w:val="1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1609"/>
        <w:gridCol w:w="1879"/>
        <w:gridCol w:w="1879"/>
        <w:gridCol w:w="1879"/>
        <w:gridCol w:w="928"/>
      </w:tblGrid>
      <w:tr w14:paraId="60BA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EEEE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一级</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FBF0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二级指标</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DED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三级指标</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E95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指标值</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C12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完成值</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D8A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是否完成</w:t>
            </w:r>
          </w:p>
        </w:tc>
      </w:tr>
      <w:tr w14:paraId="2E82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restart"/>
            <w:tcBorders>
              <w:top w:val="single" w:color="000000" w:sz="4" w:space="0"/>
              <w:left w:val="single" w:color="000000" w:sz="4" w:space="0"/>
              <w:bottom w:val="nil"/>
              <w:right w:val="single" w:color="000000" w:sz="4" w:space="0"/>
            </w:tcBorders>
            <w:shd w:val="clear" w:color="auto" w:fill="auto"/>
            <w:vAlign w:val="center"/>
          </w:tcPr>
          <w:p w14:paraId="5DA2FC7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产出指标</w:t>
            </w:r>
          </w:p>
        </w:tc>
        <w:tc>
          <w:tcPr>
            <w:tcW w:w="1609" w:type="dxa"/>
            <w:vMerge w:val="restart"/>
            <w:tcBorders>
              <w:top w:val="nil"/>
              <w:left w:val="single" w:color="000000" w:sz="4" w:space="0"/>
              <w:bottom w:val="single" w:color="000000" w:sz="4" w:space="0"/>
              <w:right w:val="single" w:color="000000" w:sz="4" w:space="0"/>
            </w:tcBorders>
            <w:shd w:val="clear" w:color="auto" w:fill="auto"/>
            <w:vAlign w:val="center"/>
          </w:tcPr>
          <w:p w14:paraId="0501A8A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产出数量</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E0E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实施项目数量</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0AD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53个</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7DD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44个</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A5C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否</w:t>
            </w:r>
          </w:p>
        </w:tc>
      </w:tr>
      <w:tr w14:paraId="5DF8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nil"/>
              <w:right w:val="single" w:color="000000" w:sz="4" w:space="0"/>
            </w:tcBorders>
            <w:shd w:val="clear" w:color="auto" w:fill="auto"/>
            <w:vAlign w:val="center"/>
          </w:tcPr>
          <w:p w14:paraId="0114113E">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609" w:type="dxa"/>
            <w:vMerge w:val="continue"/>
            <w:tcBorders>
              <w:top w:val="nil"/>
              <w:left w:val="single" w:color="000000" w:sz="4" w:space="0"/>
              <w:bottom w:val="single" w:color="000000" w:sz="4" w:space="0"/>
              <w:right w:val="single" w:color="000000" w:sz="4" w:space="0"/>
            </w:tcBorders>
            <w:shd w:val="clear" w:color="auto" w:fill="auto"/>
            <w:vAlign w:val="center"/>
          </w:tcPr>
          <w:p w14:paraId="2C1983EF">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E6A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延时服务幼儿数</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2C5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2500人</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B4B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2752人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FC6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1C52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nil"/>
              <w:right w:val="single" w:color="000000" w:sz="4" w:space="0"/>
            </w:tcBorders>
            <w:shd w:val="clear" w:color="auto" w:fill="auto"/>
            <w:vAlign w:val="center"/>
          </w:tcPr>
          <w:p w14:paraId="1307142E">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E32D4">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912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购买民办学校学位</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598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1423个</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402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1423个</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616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7501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nil"/>
              <w:right w:val="single" w:color="000000" w:sz="4" w:space="0"/>
            </w:tcBorders>
            <w:shd w:val="clear" w:color="auto" w:fill="auto"/>
            <w:vAlign w:val="center"/>
          </w:tcPr>
          <w:p w14:paraId="61163253">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2A379">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826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人员数量控制</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947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人数不超过规定</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95C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070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1E2D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nil"/>
              <w:right w:val="single" w:color="000000" w:sz="4" w:space="0"/>
            </w:tcBorders>
            <w:shd w:val="clear" w:color="auto" w:fill="auto"/>
            <w:vAlign w:val="center"/>
          </w:tcPr>
          <w:p w14:paraId="003F5D71">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F03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产出质量</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CC1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项目实际完成情况</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550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项目竣工验收合格</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4E6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E33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4A6A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nil"/>
              <w:right w:val="single" w:color="000000" w:sz="4" w:space="0"/>
            </w:tcBorders>
            <w:shd w:val="clear" w:color="auto" w:fill="auto"/>
            <w:vAlign w:val="center"/>
          </w:tcPr>
          <w:p w14:paraId="61C0DCE6">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9B4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产出时效</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109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项目完成时效性</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6E5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项目及时完成</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EE6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个别项目工期延期</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E73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否</w:t>
            </w:r>
          </w:p>
        </w:tc>
      </w:tr>
      <w:tr w14:paraId="17F6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E4716">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EE20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产出成本</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101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整体支出成本</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89F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067.52万元</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F82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067.52万元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D0A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5436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ED993">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609" w:type="dxa"/>
            <w:vMerge w:val="continue"/>
            <w:tcBorders>
              <w:top w:val="single" w:color="000000" w:sz="4" w:space="0"/>
              <w:left w:val="single" w:color="000000" w:sz="4" w:space="0"/>
              <w:bottom w:val="nil"/>
              <w:right w:val="single" w:color="000000" w:sz="4" w:space="0"/>
            </w:tcBorders>
            <w:shd w:val="clear" w:color="auto" w:fill="auto"/>
            <w:vAlign w:val="center"/>
          </w:tcPr>
          <w:p w14:paraId="03F91ABA">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4AD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项目支出成本</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52D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997.20万元</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EDE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679.10万元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FF3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4CFD2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3FBF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效益指标</w:t>
            </w:r>
          </w:p>
        </w:tc>
        <w:tc>
          <w:tcPr>
            <w:tcW w:w="1609" w:type="dxa"/>
            <w:tcBorders>
              <w:top w:val="single" w:color="000000" w:sz="4" w:space="0"/>
              <w:left w:val="single" w:color="000000" w:sz="4" w:space="0"/>
              <w:bottom w:val="nil"/>
              <w:right w:val="single" w:color="000000" w:sz="4" w:space="0"/>
            </w:tcBorders>
            <w:shd w:val="clear" w:color="auto" w:fill="auto"/>
            <w:vAlign w:val="center"/>
          </w:tcPr>
          <w:p w14:paraId="799D2EC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经济效益</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B5E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促进经济发展</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7BC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5E3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CD4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32D1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23D6B">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0697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社会效益</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7FD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提高教育质量</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F8D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E9C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C24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681F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3D7E">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7972B">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9F3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巩固校园安全</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966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D58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A65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08CF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61B2C">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05674">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778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教育民生进一步落实</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162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C6E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431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是</w:t>
            </w:r>
          </w:p>
        </w:tc>
      </w:tr>
      <w:tr w14:paraId="2467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16A4D">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BD5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653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维护教学及生态环境</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006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384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达到预期目标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4EB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r w14:paraId="16F9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E353C">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AD6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可持续性</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6DB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长效管护制度</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99A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影响程度明显</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3B0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影响程度一般</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AF7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r w14:paraId="305B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3503E">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342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49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服务对象的满意度</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596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45C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98.65%</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9FA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r>
    </w:tbl>
    <w:p w14:paraId="25DCA5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b w:val="0"/>
          <w:bCs w:val="0"/>
          <w:sz w:val="32"/>
          <w:szCs w:val="32"/>
          <w:lang w:val="en-US" w:eastAsia="zh-CN"/>
        </w:rPr>
        <w:t>经评价，县教育局2024年度主要为产出</w:t>
      </w:r>
      <w:r>
        <w:rPr>
          <w:rFonts w:hint="eastAsia" w:eastAsia="仿宋_GB2312" w:cs="Times New Roman"/>
          <w:b w:val="0"/>
          <w:bCs w:val="0"/>
          <w:sz w:val="32"/>
          <w:szCs w:val="32"/>
          <w:lang w:val="en-US" w:eastAsia="zh-CN"/>
        </w:rPr>
        <w:t>数量</w:t>
      </w:r>
      <w:r>
        <w:rPr>
          <w:rFonts w:hint="eastAsia" w:ascii="Times New Roman" w:hAnsi="Times New Roman" w:eastAsia="仿宋_GB2312" w:cs="Times New Roman"/>
          <w:b w:val="0"/>
          <w:bCs w:val="0"/>
          <w:sz w:val="32"/>
          <w:szCs w:val="32"/>
          <w:lang w:val="en-US" w:eastAsia="zh-CN"/>
        </w:rPr>
        <w:t>指标未完成</w:t>
      </w:r>
      <w:r>
        <w:rPr>
          <w:rFonts w:hint="eastAsia" w:eastAsia="仿宋_GB2312" w:cs="Times New Roman"/>
          <w:b w:val="0"/>
          <w:bCs w:val="0"/>
          <w:sz w:val="32"/>
          <w:szCs w:val="32"/>
          <w:lang w:val="en-US" w:eastAsia="zh-CN"/>
        </w:rPr>
        <w:t>本</w:t>
      </w:r>
      <w:r>
        <w:rPr>
          <w:rFonts w:hint="eastAsia" w:ascii="Times New Roman" w:hAnsi="Times New Roman" w:eastAsia="仿宋_GB2312" w:cs="Times New Roman"/>
          <w:b w:val="0"/>
          <w:bCs w:val="0"/>
          <w:sz w:val="32"/>
          <w:szCs w:val="32"/>
          <w:lang w:val="en-US" w:eastAsia="zh-CN"/>
        </w:rPr>
        <w:t>年计划实施项目数量53个，实际开展44项</w:t>
      </w:r>
      <w:r>
        <w:rPr>
          <w:rFonts w:hint="eastAsia" w:eastAsia="仿宋_GB2312" w:cs="Times New Roman"/>
          <w:b w:val="0"/>
          <w:bCs w:val="0"/>
          <w:sz w:val="32"/>
          <w:szCs w:val="32"/>
          <w:lang w:val="en-US" w:eastAsia="zh-CN"/>
        </w:rPr>
        <w:t>，实施项目完成率83.02%</w:t>
      </w:r>
      <w:r>
        <w:rPr>
          <w:rFonts w:hint="eastAsia" w:ascii="Times New Roman" w:hAnsi="Times New Roman" w:eastAsia="仿宋_GB2312" w:cs="Times New Roman"/>
          <w:b w:val="0"/>
          <w:bCs w:val="0"/>
          <w:sz w:val="32"/>
          <w:szCs w:val="32"/>
          <w:lang w:val="en-US" w:eastAsia="zh-CN"/>
        </w:rPr>
        <w:t>。</w:t>
      </w:r>
    </w:p>
    <w:p w14:paraId="0A8BBDE2">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9" w:name="_Toc4731"/>
      <w:r>
        <w:rPr>
          <w:rFonts w:hint="eastAsia" w:ascii="黑体" w:hAnsi="黑体" w:eastAsia="黑体" w:cs="黑体"/>
          <w:b w:val="0"/>
          <w:bCs/>
          <w:sz w:val="32"/>
          <w:szCs w:val="32"/>
        </w:rPr>
        <w:t>二、绩效评价结论</w:t>
      </w:r>
      <w:bookmarkEnd w:id="9"/>
    </w:p>
    <w:p w14:paraId="168D68A7">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lang w:val="en-US" w:eastAsia="zh-CN"/>
        </w:rPr>
      </w:pPr>
      <w:bookmarkStart w:id="10" w:name="_Toc11669"/>
      <w:r>
        <w:rPr>
          <w:rFonts w:hint="eastAsia" w:ascii="楷体_GB2312" w:hAnsi="楷体_GB2312" w:eastAsia="楷体_GB2312" w:cs="楷体_GB2312"/>
          <w:lang w:val="en-US" w:eastAsia="zh-CN"/>
        </w:rPr>
        <w:t>（一）总体结论</w:t>
      </w:r>
      <w:bookmarkEnd w:id="10"/>
    </w:p>
    <w:p w14:paraId="2DDF4F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color w:val="auto"/>
          <w:sz w:val="32"/>
          <w:szCs w:val="32"/>
          <w:highlight w:val="none"/>
          <w:lang w:val="en-US" w:eastAsia="zh-CN"/>
        </w:rPr>
        <w:t>2024年度，休宁县教育局紧紧围绕财政目标任务，高效履行职能，各项工作取得显著成效。在财政管理方面，全年预算9,067.52万元全部执行到位，预算执行率达100%，资金使用规范高效。全力改善城乡办学条件，包括海阳二小教学楼改造等乡村学校提升工程，以及海阳一小教学楼新建等城区教育扩容项目，显著改善了城乡办学条件。教育民生方面，精准落实家庭经济困难学生资助政策，切实保障建档立卡等特殊群体学生就学权益。教育质量提升方面，通过</w:t>
      </w:r>
      <w:r>
        <w:rPr>
          <w:rFonts w:hint="eastAsia" w:eastAsia="仿宋_GB2312" w:cs="Times New Roman"/>
          <w:b w:val="0"/>
          <w:bCs/>
          <w:color w:val="auto"/>
          <w:sz w:val="32"/>
          <w:szCs w:val="32"/>
          <w:highlight w:val="none"/>
          <w:lang w:val="en-US" w:eastAsia="zh-CN"/>
        </w:rPr>
        <w:t>“</w:t>
      </w:r>
      <w:r>
        <w:rPr>
          <w:rFonts w:hint="eastAsia" w:ascii="Times New Roman" w:hAnsi="Times New Roman" w:eastAsia="仿宋_GB2312" w:cs="Times New Roman"/>
          <w:b w:val="0"/>
          <w:bCs/>
          <w:color w:val="auto"/>
          <w:sz w:val="32"/>
          <w:szCs w:val="32"/>
          <w:highlight w:val="none"/>
          <w:lang w:val="en-US" w:eastAsia="zh-CN"/>
        </w:rPr>
        <w:t>教育365共富协作区</w:t>
      </w:r>
      <w:r>
        <w:rPr>
          <w:rFonts w:hint="eastAsia" w:eastAsia="仿宋_GB2312" w:cs="Times New Roman"/>
          <w:b w:val="0"/>
          <w:bCs/>
          <w:color w:val="auto"/>
          <w:sz w:val="32"/>
          <w:szCs w:val="32"/>
          <w:highlight w:val="none"/>
          <w:lang w:val="en-US" w:eastAsia="zh-CN"/>
        </w:rPr>
        <w:t>”</w:t>
      </w:r>
      <w:r>
        <w:rPr>
          <w:rFonts w:hint="eastAsia" w:ascii="Times New Roman" w:hAnsi="Times New Roman" w:eastAsia="仿宋_GB2312" w:cs="Times New Roman"/>
          <w:b w:val="0"/>
          <w:bCs/>
          <w:color w:val="auto"/>
          <w:sz w:val="32"/>
          <w:szCs w:val="32"/>
          <w:highlight w:val="none"/>
          <w:lang w:val="en-US" w:eastAsia="zh-CN"/>
        </w:rPr>
        <w:t>促进教师交流学习，常态化开展智慧课堂和</w:t>
      </w:r>
      <w:r>
        <w:rPr>
          <w:rFonts w:hint="eastAsia" w:eastAsia="仿宋_GB2312" w:cs="Times New Roman"/>
          <w:b w:val="0"/>
          <w:bCs/>
          <w:color w:val="auto"/>
          <w:sz w:val="32"/>
          <w:szCs w:val="32"/>
          <w:highlight w:val="none"/>
          <w:lang w:val="en-US" w:eastAsia="zh-CN"/>
        </w:rPr>
        <w:t>“</w:t>
      </w:r>
      <w:r>
        <w:rPr>
          <w:rFonts w:hint="eastAsia" w:ascii="Times New Roman" w:hAnsi="Times New Roman" w:eastAsia="仿宋_GB2312" w:cs="Times New Roman"/>
          <w:b w:val="0"/>
          <w:bCs/>
          <w:color w:val="auto"/>
          <w:sz w:val="32"/>
          <w:szCs w:val="32"/>
          <w:highlight w:val="none"/>
          <w:lang w:val="en-US" w:eastAsia="zh-CN"/>
        </w:rPr>
        <w:t>央广虚拟实验</w:t>
      </w:r>
      <w:r>
        <w:rPr>
          <w:rFonts w:hint="eastAsia" w:eastAsia="仿宋_GB2312" w:cs="Times New Roman"/>
          <w:b w:val="0"/>
          <w:bCs/>
          <w:color w:val="auto"/>
          <w:sz w:val="32"/>
          <w:szCs w:val="32"/>
          <w:highlight w:val="none"/>
          <w:lang w:val="en-US" w:eastAsia="zh-CN"/>
        </w:rPr>
        <w:t>”</w:t>
      </w:r>
      <w:r>
        <w:rPr>
          <w:rFonts w:hint="eastAsia" w:ascii="Times New Roman" w:hAnsi="Times New Roman" w:eastAsia="仿宋_GB2312" w:cs="Times New Roman"/>
          <w:b w:val="0"/>
          <w:bCs/>
          <w:color w:val="auto"/>
          <w:sz w:val="32"/>
          <w:szCs w:val="32"/>
          <w:highlight w:val="none"/>
          <w:lang w:val="en-US" w:eastAsia="zh-CN"/>
        </w:rPr>
        <w:t>等信息化教学活动。校园安全方面，强化封闭管理，组织安保人员实战演练，全面提升</w:t>
      </w:r>
      <w:r>
        <w:rPr>
          <w:rFonts w:hint="eastAsia" w:eastAsia="仿宋_GB2312" w:cs="Times New Roman"/>
          <w:b w:val="0"/>
          <w:bCs/>
          <w:color w:val="auto"/>
          <w:sz w:val="32"/>
          <w:szCs w:val="32"/>
          <w:highlight w:val="none"/>
          <w:lang w:val="en-US" w:eastAsia="zh-CN"/>
        </w:rPr>
        <w:t>“</w:t>
      </w:r>
      <w:r>
        <w:rPr>
          <w:rFonts w:hint="eastAsia" w:ascii="Times New Roman" w:hAnsi="Times New Roman" w:eastAsia="仿宋_GB2312" w:cs="Times New Roman"/>
          <w:b w:val="0"/>
          <w:bCs/>
          <w:color w:val="auto"/>
          <w:sz w:val="32"/>
          <w:szCs w:val="32"/>
          <w:highlight w:val="none"/>
          <w:lang w:val="en-US" w:eastAsia="zh-CN"/>
        </w:rPr>
        <w:t>三防</w:t>
      </w:r>
      <w:r>
        <w:rPr>
          <w:rFonts w:hint="eastAsia" w:eastAsia="仿宋_GB2312" w:cs="Times New Roman"/>
          <w:b w:val="0"/>
          <w:bCs/>
          <w:color w:val="auto"/>
          <w:sz w:val="32"/>
          <w:szCs w:val="32"/>
          <w:highlight w:val="none"/>
          <w:lang w:val="en-US" w:eastAsia="zh-CN"/>
        </w:rPr>
        <w:t>”</w:t>
      </w:r>
      <w:r>
        <w:rPr>
          <w:rFonts w:hint="eastAsia" w:ascii="Times New Roman" w:hAnsi="Times New Roman" w:eastAsia="仿宋_GB2312" w:cs="Times New Roman"/>
          <w:b w:val="0"/>
          <w:bCs/>
          <w:color w:val="auto"/>
          <w:sz w:val="32"/>
          <w:szCs w:val="32"/>
          <w:highlight w:val="none"/>
          <w:lang w:val="en-US" w:eastAsia="zh-CN"/>
        </w:rPr>
        <w:t>建设水平。通过深化教育改革、优化教育资源配置、加强校园安全管理等举措，有效推动了全县教育事业高质量发展</w:t>
      </w:r>
      <w:r>
        <w:rPr>
          <w:rFonts w:hint="eastAsia" w:eastAsia="仿宋_GB2312" w:cs="Times New Roman"/>
          <w:b w:val="0"/>
          <w:bCs/>
          <w:color w:val="auto"/>
          <w:sz w:val="32"/>
          <w:szCs w:val="32"/>
          <w:highlight w:val="none"/>
          <w:lang w:val="en-US" w:eastAsia="zh-CN"/>
        </w:rPr>
        <w:t>。</w:t>
      </w:r>
    </w:p>
    <w:p w14:paraId="36F503E6">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 </w:t>
      </w:r>
      <w:bookmarkStart w:id="11" w:name="_Toc13064"/>
      <w:r>
        <w:rPr>
          <w:rFonts w:hint="eastAsia" w:ascii="楷体_GB2312" w:hAnsi="楷体_GB2312" w:eastAsia="楷体_GB2312" w:cs="楷体_GB2312"/>
          <w:b/>
          <w:bCs/>
          <w:sz w:val="32"/>
          <w:szCs w:val="32"/>
          <w:lang w:val="en-US" w:eastAsia="zh-CN"/>
        </w:rPr>
        <w:t>（二）评价得分情况</w:t>
      </w:r>
      <w:bookmarkEnd w:id="11"/>
    </w:p>
    <w:p w14:paraId="7009B6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lang w:val="en-US" w:eastAsia="zh-CN"/>
        </w:rPr>
        <w:t>经统计分析，2024年度</w:t>
      </w:r>
      <w:r>
        <w:rPr>
          <w:rFonts w:hint="eastAsia" w:eastAsia="仿宋_GB2312" w:cs="Times New Roman"/>
          <w:b w:val="0"/>
          <w:bCs w:val="0"/>
          <w:sz w:val="32"/>
          <w:szCs w:val="32"/>
          <w:lang w:val="en-US" w:eastAsia="zh-CN"/>
        </w:rPr>
        <w:t>县</w:t>
      </w:r>
      <w:r>
        <w:rPr>
          <w:rFonts w:hint="eastAsia" w:ascii="Times New Roman" w:hAnsi="Times New Roman" w:eastAsia="仿宋_GB2312" w:cs="Times New Roman"/>
          <w:b w:val="0"/>
          <w:bCs/>
          <w:color w:val="auto"/>
          <w:sz w:val="32"/>
          <w:szCs w:val="32"/>
          <w:highlight w:val="none"/>
          <w:lang w:val="en-US" w:eastAsia="zh-CN"/>
        </w:rPr>
        <w:t>教育局</w:t>
      </w:r>
      <w:r>
        <w:rPr>
          <w:rFonts w:hint="eastAsia" w:ascii="Times New Roman" w:hAnsi="Times New Roman" w:eastAsia="仿宋_GB2312" w:cs="Times New Roman"/>
          <w:b w:val="0"/>
          <w:bCs w:val="0"/>
          <w:sz w:val="32"/>
          <w:szCs w:val="32"/>
          <w:lang w:val="en-US" w:eastAsia="zh-CN"/>
        </w:rPr>
        <w:t>部门整体支出绩效评价综合得分为</w:t>
      </w:r>
      <w:r>
        <w:rPr>
          <w:rFonts w:hint="eastAsia" w:eastAsia="仿宋_GB2312" w:cs="Times New Roman"/>
          <w:b w:val="0"/>
          <w:bCs w:val="0"/>
          <w:sz w:val="32"/>
          <w:szCs w:val="32"/>
          <w:lang w:val="en-US" w:eastAsia="zh-CN"/>
        </w:rPr>
        <w:t>91.19</w:t>
      </w:r>
      <w:r>
        <w:rPr>
          <w:rFonts w:hint="eastAsia" w:ascii="Times New Roman" w:hAnsi="Times New Roman" w:eastAsia="仿宋_GB2312" w:cs="Times New Roman"/>
          <w:b w:val="0"/>
          <w:bCs w:val="0"/>
          <w:sz w:val="32"/>
          <w:szCs w:val="32"/>
          <w:lang w:val="en-US" w:eastAsia="zh-CN"/>
        </w:rPr>
        <w:t>分，评价等级为“</w:t>
      </w:r>
      <w:r>
        <w:rPr>
          <w:rFonts w:hint="eastAsia" w:eastAsia="仿宋_GB2312" w:cs="Times New Roman"/>
          <w:b w:val="0"/>
          <w:bCs w:val="0"/>
          <w:sz w:val="32"/>
          <w:szCs w:val="32"/>
          <w:lang w:val="en-US" w:eastAsia="zh-CN"/>
        </w:rPr>
        <w:t>优</w:t>
      </w:r>
      <w:r>
        <w:rPr>
          <w:rFonts w:hint="eastAsia" w:ascii="Times New Roman" w:hAnsi="Times New Roman" w:eastAsia="仿宋_GB2312" w:cs="Times New Roman"/>
          <w:b w:val="0"/>
          <w:bCs w:val="0"/>
          <w:sz w:val="32"/>
          <w:szCs w:val="32"/>
          <w:lang w:val="en-US" w:eastAsia="zh-CN"/>
        </w:rPr>
        <w:t>”。具体评分见下表：</w:t>
      </w:r>
    </w:p>
    <w:tbl>
      <w:tblPr>
        <w:tblStyle w:val="10"/>
        <w:tblW w:w="8937" w:type="dxa"/>
        <w:jc w:val="center"/>
        <w:tblLayout w:type="fixed"/>
        <w:tblCellMar>
          <w:top w:w="56" w:type="dxa"/>
          <w:left w:w="56" w:type="dxa"/>
          <w:bottom w:w="56" w:type="dxa"/>
          <w:right w:w="56" w:type="dxa"/>
        </w:tblCellMar>
      </w:tblPr>
      <w:tblGrid>
        <w:gridCol w:w="1893"/>
        <w:gridCol w:w="1276"/>
        <w:gridCol w:w="1276"/>
        <w:gridCol w:w="1701"/>
        <w:gridCol w:w="1559"/>
        <w:gridCol w:w="1232"/>
      </w:tblGrid>
      <w:tr w14:paraId="23644824">
        <w:tblPrEx>
          <w:tblCellMar>
            <w:top w:w="56" w:type="dxa"/>
            <w:left w:w="56" w:type="dxa"/>
            <w:bottom w:w="56" w:type="dxa"/>
            <w:right w:w="56" w:type="dxa"/>
          </w:tblCellMar>
        </w:tblPrEx>
        <w:trPr>
          <w:trHeight w:val="567" w:hRule="exact"/>
          <w:jc w:val="center"/>
        </w:trPr>
        <w:tc>
          <w:tcPr>
            <w:tcW w:w="18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7BE548">
            <w:pPr>
              <w:keepNext w:val="0"/>
              <w:keepLines w:val="0"/>
              <w:pageBreakBefore w:val="0"/>
              <w:kinsoku/>
              <w:wordWrap/>
              <w:overflowPunct/>
              <w:topLinePunct w:val="0"/>
              <w:autoSpaceDE/>
              <w:autoSpaceDN/>
              <w:bidi w:val="0"/>
              <w:snapToGrid w:val="0"/>
              <w:spacing w:line="560" w:lineRule="exact"/>
              <w:jc w:val="center"/>
              <w:rPr>
                <w:rFonts w:hint="default" w:ascii="Times New Roman" w:hAnsi="Times New Roman" w:eastAsia="宋体" w:cs="Times New Roman"/>
                <w:b/>
                <w:spacing w:val="-10"/>
                <w:szCs w:val="21"/>
                <w:lang w:val="en-US" w:eastAsia="zh-CN"/>
              </w:rPr>
            </w:pPr>
            <w:r>
              <w:rPr>
                <w:rFonts w:hint="default" w:ascii="Times New Roman" w:hAnsi="Times New Roman" w:eastAsia="宋体" w:cs="Times New Roman"/>
                <w:b/>
                <w:spacing w:val="-10"/>
                <w:szCs w:val="21"/>
                <w:lang w:val="en-US" w:eastAsia="zh-CN"/>
              </w:rPr>
              <w:t>项目</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C71920">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szCs w:val="21"/>
              </w:rPr>
            </w:pPr>
            <w:r>
              <w:rPr>
                <w:rFonts w:hint="default" w:ascii="Times New Roman" w:hAnsi="Times New Roman" w:eastAsia="宋体" w:cs="Times New Roman"/>
                <w:b/>
                <w:szCs w:val="21"/>
              </w:rPr>
              <w:t>决策指标</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EF29AC">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szCs w:val="21"/>
              </w:rPr>
            </w:pPr>
            <w:r>
              <w:rPr>
                <w:rFonts w:hint="default" w:ascii="Times New Roman" w:hAnsi="Times New Roman" w:eastAsia="宋体" w:cs="Times New Roman"/>
                <w:b/>
                <w:szCs w:val="21"/>
              </w:rPr>
              <w:t>过程指标</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576E95">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szCs w:val="21"/>
              </w:rPr>
            </w:pPr>
            <w:r>
              <w:rPr>
                <w:rFonts w:hint="default" w:ascii="Times New Roman" w:hAnsi="Times New Roman" w:eastAsia="宋体" w:cs="Times New Roman"/>
                <w:b/>
                <w:szCs w:val="21"/>
              </w:rPr>
              <w:t>产出指标</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AF8DAA">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szCs w:val="21"/>
              </w:rPr>
            </w:pPr>
            <w:r>
              <w:rPr>
                <w:rFonts w:hint="default" w:ascii="Times New Roman" w:hAnsi="Times New Roman" w:eastAsia="宋体" w:cs="Times New Roman"/>
                <w:b/>
                <w:szCs w:val="21"/>
              </w:rPr>
              <w:t>效益指标</w:t>
            </w:r>
          </w:p>
        </w:tc>
        <w:tc>
          <w:tcPr>
            <w:tcW w:w="12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A70742">
            <w:pPr>
              <w:keepNext w:val="0"/>
              <w:keepLines w:val="0"/>
              <w:pageBreakBefore w:val="0"/>
              <w:kinsoku/>
              <w:wordWrap/>
              <w:overflowPunct/>
              <w:topLinePunct w:val="0"/>
              <w:autoSpaceDE/>
              <w:autoSpaceDN/>
              <w:bidi w:val="0"/>
              <w:snapToGrid w:val="0"/>
              <w:spacing w:line="560" w:lineRule="exact"/>
              <w:jc w:val="center"/>
              <w:rPr>
                <w:rFonts w:hint="default" w:ascii="Times New Roman" w:hAnsi="Times New Roman" w:eastAsia="宋体" w:cs="Times New Roman"/>
                <w:b/>
                <w:spacing w:val="-10"/>
                <w:szCs w:val="21"/>
              </w:rPr>
            </w:pPr>
            <w:r>
              <w:rPr>
                <w:rFonts w:hint="default" w:ascii="Times New Roman" w:hAnsi="Times New Roman" w:eastAsia="宋体" w:cs="Times New Roman"/>
                <w:b/>
                <w:spacing w:val="-10"/>
                <w:szCs w:val="21"/>
              </w:rPr>
              <w:t>得分合计</w:t>
            </w:r>
          </w:p>
        </w:tc>
      </w:tr>
      <w:tr w14:paraId="7BAD4D9E">
        <w:tblPrEx>
          <w:tblCellMar>
            <w:top w:w="56" w:type="dxa"/>
            <w:left w:w="56" w:type="dxa"/>
            <w:bottom w:w="56" w:type="dxa"/>
            <w:right w:w="56" w:type="dxa"/>
          </w:tblCellMar>
        </w:tblPrEx>
        <w:trPr>
          <w:trHeight w:val="460" w:hRule="exact"/>
          <w:jc w:val="center"/>
        </w:trPr>
        <w:tc>
          <w:tcPr>
            <w:tcW w:w="18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46CEDE">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标准分值</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2F5E0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943DB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174E1D">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89269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2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957A6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w:t>
            </w:r>
          </w:p>
        </w:tc>
      </w:tr>
      <w:tr w14:paraId="659323D4">
        <w:tblPrEx>
          <w:tblCellMar>
            <w:top w:w="56" w:type="dxa"/>
            <w:left w:w="56" w:type="dxa"/>
            <w:bottom w:w="56" w:type="dxa"/>
            <w:right w:w="56" w:type="dxa"/>
          </w:tblCellMar>
        </w:tblPrEx>
        <w:trPr>
          <w:trHeight w:val="567" w:hRule="exact"/>
          <w:jc w:val="center"/>
        </w:trPr>
        <w:tc>
          <w:tcPr>
            <w:tcW w:w="18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6147BA">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评价得分</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11EC3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eastAsia" w:ascii="Times New Roman" w:hAnsi="Times New Roman" w:cs="Times New Roman"/>
                <w:i w:val="0"/>
                <w:iCs w:val="0"/>
                <w:color w:val="000000"/>
                <w:kern w:val="0"/>
                <w:sz w:val="21"/>
                <w:szCs w:val="21"/>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90AA41">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eastAsia" w:cs="Times New Roman"/>
                <w:i w:val="0"/>
                <w:iCs w:val="0"/>
                <w:color w:val="000000"/>
                <w:kern w:val="0"/>
                <w:sz w:val="21"/>
                <w:szCs w:val="21"/>
                <w:u w:val="none"/>
                <w:lang w:val="en-US" w:eastAsia="zh-CN" w:bidi="ar"/>
              </w:rPr>
              <w:t>22.70</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0D354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eastAsia" w:ascii="Times New Roman" w:hAnsi="Times New Roman"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9.49</w:t>
            </w:r>
          </w:p>
        </w:tc>
        <w:tc>
          <w:tcPr>
            <w:tcW w:w="155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53EED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cs="Times New Roman"/>
                <w:i w:val="0"/>
                <w:iCs w:val="0"/>
                <w:color w:val="000000"/>
                <w:kern w:val="0"/>
                <w:sz w:val="21"/>
                <w:szCs w:val="21"/>
                <w:u w:val="none"/>
                <w:lang w:val="en-US" w:eastAsia="zh-CN" w:bidi="ar"/>
              </w:rPr>
              <w:t>9</w:t>
            </w:r>
          </w:p>
        </w:tc>
        <w:tc>
          <w:tcPr>
            <w:tcW w:w="123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8517F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spacing w:val="-4"/>
                <w:szCs w:val="21"/>
                <w:lang w:val="en-US" w:eastAsia="zh-CN"/>
              </w:rPr>
            </w:pPr>
            <w:r>
              <w:rPr>
                <w:rFonts w:hint="eastAsia" w:cs="Times New Roman"/>
                <w:i w:val="0"/>
                <w:iCs w:val="0"/>
                <w:color w:val="000000"/>
                <w:kern w:val="0"/>
                <w:sz w:val="21"/>
                <w:szCs w:val="21"/>
                <w:u w:val="none"/>
                <w:lang w:val="en-US" w:eastAsia="zh-CN" w:bidi="ar"/>
              </w:rPr>
              <w:t>91.19</w:t>
            </w:r>
          </w:p>
        </w:tc>
      </w:tr>
    </w:tbl>
    <w:p w14:paraId="174B7168">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12" w:name="_Toc6490"/>
      <w:r>
        <w:rPr>
          <w:rFonts w:hint="eastAsia" w:ascii="黑体" w:hAnsi="黑体" w:eastAsia="黑体" w:cs="黑体"/>
          <w:b w:val="0"/>
          <w:bCs/>
          <w:sz w:val="32"/>
          <w:szCs w:val="32"/>
        </w:rPr>
        <w:t>三、绩效评价指标分析</w:t>
      </w:r>
      <w:bookmarkEnd w:id="12"/>
    </w:p>
    <w:p w14:paraId="3CC77C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2024年度</w:t>
      </w:r>
      <w:r>
        <w:rPr>
          <w:rFonts w:hint="eastAsia" w:eastAsia="仿宋_GB2312" w:cs="Times New Roman"/>
          <w:b w:val="0"/>
          <w:bCs w:val="0"/>
          <w:sz w:val="32"/>
          <w:szCs w:val="32"/>
          <w:lang w:val="en-US" w:eastAsia="zh-CN"/>
        </w:rPr>
        <w:t>县</w:t>
      </w:r>
      <w:r>
        <w:rPr>
          <w:rFonts w:hint="eastAsia" w:ascii="Times New Roman" w:hAnsi="Times New Roman" w:eastAsia="仿宋_GB2312" w:cs="Times New Roman"/>
          <w:b w:val="0"/>
          <w:bCs/>
          <w:color w:val="auto"/>
          <w:sz w:val="32"/>
          <w:szCs w:val="32"/>
          <w:highlight w:val="none"/>
          <w:lang w:val="en-US" w:eastAsia="zh-CN"/>
        </w:rPr>
        <w:t>教育局</w:t>
      </w:r>
      <w:r>
        <w:rPr>
          <w:rFonts w:hint="eastAsia" w:ascii="Times New Roman" w:hAnsi="Times New Roman" w:eastAsia="仿宋_GB2312" w:cs="Times New Roman"/>
          <w:b w:val="0"/>
          <w:bCs w:val="0"/>
          <w:sz w:val="32"/>
          <w:szCs w:val="32"/>
          <w:lang w:val="en-US" w:eastAsia="zh-CN"/>
        </w:rPr>
        <w:t>部门整体支出绩效评价指标体系共设置4个一级指标、13个二级指标，相关指标得分分析详见下表：</w:t>
      </w:r>
    </w:p>
    <w:p w14:paraId="486A0328">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2024</w:t>
      </w:r>
      <w:r>
        <w:rPr>
          <w:rFonts w:hint="default" w:ascii="Times New Roman" w:hAnsi="Times New Roman" w:eastAsia="仿宋_GB2312" w:cs="Times New Roman"/>
          <w:b w:val="0"/>
          <w:bCs w:val="0"/>
          <w:sz w:val="32"/>
          <w:szCs w:val="32"/>
          <w:highlight w:val="none"/>
          <w:lang w:val="en-US" w:eastAsia="zh-CN"/>
        </w:rPr>
        <w:t>年度</w:t>
      </w:r>
      <w:r>
        <w:rPr>
          <w:rFonts w:hint="eastAsia" w:eastAsia="仿宋_GB2312" w:cs="Times New Roman"/>
          <w:b w:val="0"/>
          <w:bCs w:val="0"/>
          <w:sz w:val="32"/>
          <w:szCs w:val="32"/>
          <w:highlight w:val="none"/>
          <w:lang w:val="en-US" w:eastAsia="zh-CN"/>
        </w:rPr>
        <w:t>休宁</w:t>
      </w:r>
      <w:r>
        <w:rPr>
          <w:rFonts w:hint="default" w:ascii="Times New Roman" w:hAnsi="Times New Roman" w:eastAsia="仿宋_GB2312" w:cs="Times New Roman"/>
          <w:b w:val="0"/>
          <w:bCs w:val="0"/>
          <w:sz w:val="32"/>
          <w:szCs w:val="32"/>
          <w:highlight w:val="none"/>
          <w:lang w:val="en-US" w:eastAsia="zh-CN"/>
        </w:rPr>
        <w:t>县教育局指</w:t>
      </w:r>
      <w:r>
        <w:rPr>
          <w:rFonts w:hint="default" w:ascii="Times New Roman" w:hAnsi="Times New Roman" w:eastAsia="仿宋_GB2312" w:cs="Times New Roman"/>
          <w:b w:val="0"/>
          <w:bCs w:val="0"/>
          <w:sz w:val="32"/>
          <w:szCs w:val="32"/>
          <w:lang w:val="en-US" w:eastAsia="zh-CN"/>
        </w:rPr>
        <w:t>标评分情况分析表</w:t>
      </w:r>
    </w:p>
    <w:tbl>
      <w:tblPr>
        <w:tblStyle w:val="1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8"/>
        <w:gridCol w:w="1080"/>
        <w:gridCol w:w="3024"/>
        <w:gridCol w:w="3078"/>
        <w:gridCol w:w="792"/>
      </w:tblGrid>
      <w:tr w14:paraId="2A16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blHeader/>
        </w:trPr>
        <w:tc>
          <w:tcPr>
            <w:tcW w:w="12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2BCC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一级指标</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C0C4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二级指标</w:t>
            </w:r>
          </w:p>
        </w:tc>
        <w:tc>
          <w:tcPr>
            <w:tcW w:w="30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C0C6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评价内容</w:t>
            </w:r>
          </w:p>
        </w:tc>
        <w:tc>
          <w:tcPr>
            <w:tcW w:w="30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CC6D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评价情况</w:t>
            </w:r>
          </w:p>
        </w:tc>
        <w:tc>
          <w:tcPr>
            <w:tcW w:w="7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0CEF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得分</w:t>
            </w:r>
          </w:p>
        </w:tc>
      </w:tr>
      <w:tr w14:paraId="2D59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218" w:type="dxa"/>
            <w:vMerge w:val="restart"/>
            <w:tcBorders>
              <w:top w:val="nil"/>
              <w:left w:val="single" w:color="000000" w:sz="8" w:space="0"/>
              <w:bottom w:val="single" w:color="000000" w:sz="8" w:space="0"/>
              <w:right w:val="single" w:color="000000" w:sz="8" w:space="0"/>
            </w:tcBorders>
            <w:shd w:val="clear" w:color="auto" w:fill="auto"/>
            <w:vAlign w:val="center"/>
          </w:tcPr>
          <w:p w14:paraId="1663230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决策（10分）</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39AC9D7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预算编制</w:t>
            </w:r>
          </w:p>
        </w:tc>
        <w:tc>
          <w:tcPr>
            <w:tcW w:w="3024" w:type="dxa"/>
            <w:vMerge w:val="restart"/>
            <w:tcBorders>
              <w:top w:val="nil"/>
              <w:left w:val="single" w:color="000000" w:sz="8" w:space="0"/>
              <w:bottom w:val="single" w:color="000000" w:sz="8" w:space="0"/>
              <w:right w:val="single" w:color="000000" w:sz="8" w:space="0"/>
            </w:tcBorders>
            <w:shd w:val="clear" w:color="auto" w:fill="auto"/>
            <w:vAlign w:val="center"/>
          </w:tcPr>
          <w:p w14:paraId="7E658094">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从“预算决策规范性、预算编制科学性\绩效目标合理性、绩效指标明确性”四个方面进行评价。</w:t>
            </w:r>
          </w:p>
        </w:tc>
        <w:tc>
          <w:tcPr>
            <w:tcW w:w="3078" w:type="dxa"/>
            <w:vMerge w:val="restart"/>
            <w:tcBorders>
              <w:top w:val="nil"/>
              <w:left w:val="single" w:color="000000" w:sz="8" w:space="0"/>
              <w:bottom w:val="single" w:color="000000" w:sz="8" w:space="0"/>
              <w:right w:val="single" w:color="000000" w:sz="8" w:space="0"/>
            </w:tcBorders>
            <w:shd w:val="clear" w:color="auto" w:fill="auto"/>
            <w:vAlign w:val="center"/>
          </w:tcPr>
          <w:p w14:paraId="4A6A69A9">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ascii="Times New Roman" w:hAnsi="Times New Roman"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0%。该指标总分10分，依据评分标准得</w:t>
            </w:r>
            <w:r>
              <w:rPr>
                <w:rFonts w:hint="eastAsia" w:ascii="Times New Roman" w:hAnsi="Times New Roman"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vMerge w:val="restart"/>
            <w:tcBorders>
              <w:top w:val="nil"/>
              <w:left w:val="single" w:color="000000" w:sz="8" w:space="0"/>
              <w:bottom w:val="single" w:color="000000" w:sz="8" w:space="0"/>
              <w:right w:val="single" w:color="000000" w:sz="8" w:space="0"/>
            </w:tcBorders>
            <w:shd w:val="clear" w:color="auto" w:fill="auto"/>
            <w:vAlign w:val="center"/>
          </w:tcPr>
          <w:p w14:paraId="69E52F5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10</w:t>
            </w:r>
          </w:p>
        </w:tc>
      </w:tr>
      <w:tr w14:paraId="519F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18" w:type="dxa"/>
            <w:vMerge w:val="continue"/>
            <w:tcBorders>
              <w:top w:val="nil"/>
              <w:left w:val="single" w:color="000000" w:sz="8" w:space="0"/>
              <w:bottom w:val="single" w:color="000000" w:sz="8" w:space="0"/>
              <w:right w:val="single" w:color="000000" w:sz="8" w:space="0"/>
            </w:tcBorders>
            <w:shd w:val="clear" w:color="auto" w:fill="auto"/>
            <w:vAlign w:val="center"/>
          </w:tcPr>
          <w:p w14:paraId="0DE90A2D">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31D8CCE">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3024" w:type="dxa"/>
            <w:vMerge w:val="continue"/>
            <w:tcBorders>
              <w:top w:val="nil"/>
              <w:left w:val="single" w:color="000000" w:sz="8" w:space="0"/>
              <w:bottom w:val="single" w:color="000000" w:sz="8" w:space="0"/>
              <w:right w:val="single" w:color="000000" w:sz="8" w:space="0"/>
            </w:tcBorders>
            <w:shd w:val="clear" w:color="auto" w:fill="auto"/>
            <w:vAlign w:val="center"/>
          </w:tcPr>
          <w:p w14:paraId="4C5F0E2E">
            <w:pPr>
              <w:keepNext w:val="0"/>
              <w:keepLines w:val="0"/>
              <w:pageBreakBefore w:val="0"/>
              <w:kinsoku/>
              <w:wordWrap/>
              <w:overflowPunct/>
              <w:topLinePunct w:val="0"/>
              <w:autoSpaceDE/>
              <w:autoSpaceDN/>
              <w:bidi w:val="0"/>
              <w:spacing w:line="560" w:lineRule="exact"/>
              <w:jc w:val="left"/>
              <w:rPr>
                <w:rFonts w:hint="default" w:ascii="Times New Roman" w:hAnsi="Times New Roman" w:eastAsia="宋体" w:cs="Times New Roman"/>
                <w:i w:val="0"/>
                <w:iCs w:val="0"/>
                <w:color w:val="000000"/>
                <w:sz w:val="21"/>
                <w:szCs w:val="21"/>
                <w:u w:val="none"/>
              </w:rPr>
            </w:pPr>
          </w:p>
        </w:tc>
        <w:tc>
          <w:tcPr>
            <w:tcW w:w="3078" w:type="dxa"/>
            <w:vMerge w:val="continue"/>
            <w:tcBorders>
              <w:top w:val="nil"/>
              <w:left w:val="single" w:color="000000" w:sz="8" w:space="0"/>
              <w:bottom w:val="single" w:color="000000" w:sz="8" w:space="0"/>
              <w:right w:val="single" w:color="000000" w:sz="8" w:space="0"/>
            </w:tcBorders>
            <w:shd w:val="clear" w:color="auto" w:fill="auto"/>
            <w:vAlign w:val="center"/>
          </w:tcPr>
          <w:p w14:paraId="40831C2A">
            <w:pPr>
              <w:keepNext w:val="0"/>
              <w:keepLines w:val="0"/>
              <w:pageBreakBefore w:val="0"/>
              <w:kinsoku/>
              <w:wordWrap/>
              <w:overflowPunct/>
              <w:topLinePunct w:val="0"/>
              <w:autoSpaceDE/>
              <w:autoSpaceDN/>
              <w:bidi w:val="0"/>
              <w:spacing w:line="560" w:lineRule="exact"/>
              <w:jc w:val="left"/>
              <w:rPr>
                <w:rFonts w:hint="default" w:ascii="Times New Roman" w:hAnsi="Times New Roman" w:eastAsia="宋体" w:cs="Times New Roman"/>
                <w:i w:val="0"/>
                <w:iCs w:val="0"/>
                <w:color w:val="000000"/>
                <w:sz w:val="21"/>
                <w:szCs w:val="21"/>
                <w:u w:val="none"/>
              </w:rPr>
            </w:pPr>
          </w:p>
        </w:tc>
        <w:tc>
          <w:tcPr>
            <w:tcW w:w="792" w:type="dxa"/>
            <w:vMerge w:val="continue"/>
            <w:tcBorders>
              <w:top w:val="nil"/>
              <w:left w:val="single" w:color="000000" w:sz="8" w:space="0"/>
              <w:bottom w:val="single" w:color="000000" w:sz="8" w:space="0"/>
              <w:right w:val="single" w:color="000000" w:sz="8" w:space="0"/>
            </w:tcBorders>
            <w:shd w:val="clear" w:color="auto" w:fill="auto"/>
            <w:vAlign w:val="center"/>
          </w:tcPr>
          <w:p w14:paraId="5472821C">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r>
      <w:tr w14:paraId="384CB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322" w:type="dxa"/>
            <w:gridSpan w:val="3"/>
            <w:tcBorders>
              <w:top w:val="nil"/>
              <w:left w:val="single" w:color="000000" w:sz="8" w:space="0"/>
              <w:bottom w:val="single" w:color="000000" w:sz="8" w:space="0"/>
              <w:right w:val="single" w:color="000000" w:sz="8" w:space="0"/>
            </w:tcBorders>
            <w:shd w:val="clear" w:color="auto" w:fill="auto"/>
            <w:vAlign w:val="center"/>
          </w:tcPr>
          <w:p w14:paraId="5CC8691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小计</w:t>
            </w:r>
          </w:p>
        </w:tc>
        <w:tc>
          <w:tcPr>
            <w:tcW w:w="3078" w:type="dxa"/>
            <w:tcBorders>
              <w:top w:val="nil"/>
              <w:left w:val="single" w:color="000000" w:sz="8" w:space="0"/>
              <w:bottom w:val="single" w:color="000000" w:sz="8" w:space="0"/>
              <w:right w:val="single" w:color="000000" w:sz="8" w:space="0"/>
            </w:tcBorders>
            <w:shd w:val="clear" w:color="auto" w:fill="auto"/>
            <w:vAlign w:val="center"/>
          </w:tcPr>
          <w:p w14:paraId="3703C1CC">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Style w:val="12"/>
                <w:rFonts w:hint="default" w:ascii="Times New Roman" w:hAnsi="Times New Roman" w:eastAsia="宋体" w:cs="Times New Roman"/>
                <w:sz w:val="21"/>
                <w:szCs w:val="21"/>
                <w:lang w:val="en-US" w:eastAsia="zh-CN" w:bidi="ar"/>
              </w:rPr>
              <w:t xml:space="preserve">-   </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6C5A153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cs="Times New Roman"/>
                <w:i w:val="0"/>
                <w:iCs w:val="0"/>
                <w:color w:val="000000"/>
                <w:kern w:val="0"/>
                <w:sz w:val="21"/>
                <w:szCs w:val="21"/>
                <w:u w:val="none"/>
                <w:lang w:val="en-US" w:eastAsia="zh-CN" w:bidi="ar"/>
              </w:rPr>
              <w:t>10</w:t>
            </w:r>
          </w:p>
        </w:tc>
      </w:tr>
      <w:tr w14:paraId="0B445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18" w:type="dxa"/>
            <w:vMerge w:val="restart"/>
            <w:tcBorders>
              <w:top w:val="nil"/>
              <w:left w:val="single" w:color="000000" w:sz="8" w:space="0"/>
              <w:bottom w:val="single" w:color="000000" w:sz="8" w:space="0"/>
              <w:right w:val="single" w:color="000000" w:sz="8" w:space="0"/>
            </w:tcBorders>
            <w:shd w:val="clear" w:color="auto" w:fill="auto"/>
            <w:vAlign w:val="center"/>
          </w:tcPr>
          <w:p w14:paraId="38CF912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过程（30分）</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6DAE1AE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预算执行</w:t>
            </w:r>
          </w:p>
        </w:tc>
        <w:tc>
          <w:tcPr>
            <w:tcW w:w="3024" w:type="dxa"/>
            <w:vMerge w:val="restart"/>
            <w:tcBorders>
              <w:top w:val="nil"/>
              <w:left w:val="single" w:color="000000" w:sz="8" w:space="0"/>
              <w:bottom w:val="single" w:color="000000" w:sz="8" w:space="0"/>
              <w:right w:val="single" w:color="000000" w:sz="8" w:space="0"/>
            </w:tcBorders>
            <w:shd w:val="clear" w:color="auto" w:fill="auto"/>
            <w:vAlign w:val="center"/>
          </w:tcPr>
          <w:p w14:paraId="79201EE3">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从“预算变动率、预算完成率、支付进度率、结转结余率、一般性支出压减率、‘三公’经费控制率、政府采购执行率”七个方面进行评价</w:t>
            </w:r>
          </w:p>
        </w:tc>
        <w:tc>
          <w:tcPr>
            <w:tcW w:w="307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6B1F48">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cs="Times New Roman"/>
                <w:i w:val="0"/>
                <w:iCs w:val="0"/>
                <w:color w:val="000000"/>
                <w:kern w:val="0"/>
                <w:sz w:val="21"/>
                <w:szCs w:val="21"/>
                <w:u w:val="none"/>
                <w:lang w:val="en-US" w:eastAsia="zh-CN" w:bidi="ar"/>
              </w:rPr>
              <w:t>62.86</w:t>
            </w:r>
            <w:r>
              <w:rPr>
                <w:rFonts w:hint="default" w:ascii="Times New Roman" w:hAnsi="Times New Roman" w:eastAsia="宋体" w:cs="Times New Roman"/>
                <w:i w:val="0"/>
                <w:iCs w:val="0"/>
                <w:color w:val="000000"/>
                <w:kern w:val="0"/>
                <w:sz w:val="21"/>
                <w:szCs w:val="21"/>
                <w:u w:val="none"/>
                <w:lang w:val="en-US" w:eastAsia="zh-CN" w:bidi="ar"/>
              </w:rPr>
              <w:t>%。该指标总分14分，依据评分标准得</w:t>
            </w:r>
            <w:r>
              <w:rPr>
                <w:rFonts w:hint="eastAsia" w:cs="Times New Roman"/>
                <w:i w:val="0"/>
                <w:iCs w:val="0"/>
                <w:color w:val="000000"/>
                <w:kern w:val="0"/>
                <w:sz w:val="21"/>
                <w:szCs w:val="21"/>
                <w:u w:val="none"/>
                <w:lang w:val="en-US" w:eastAsia="zh-CN" w:bidi="ar"/>
              </w:rPr>
              <w:t>8.8</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D060A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8.80</w:t>
            </w:r>
          </w:p>
        </w:tc>
      </w:tr>
      <w:tr w14:paraId="7F582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18" w:type="dxa"/>
            <w:vMerge w:val="continue"/>
            <w:tcBorders>
              <w:top w:val="nil"/>
              <w:left w:val="single" w:color="000000" w:sz="8" w:space="0"/>
              <w:bottom w:val="single" w:color="000000" w:sz="8" w:space="0"/>
              <w:right w:val="single" w:color="000000" w:sz="8" w:space="0"/>
            </w:tcBorders>
            <w:shd w:val="clear" w:color="auto" w:fill="auto"/>
            <w:vAlign w:val="center"/>
          </w:tcPr>
          <w:p w14:paraId="16E06758">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2DC1FAF">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3024" w:type="dxa"/>
            <w:vMerge w:val="continue"/>
            <w:tcBorders>
              <w:top w:val="nil"/>
              <w:left w:val="single" w:color="000000" w:sz="8" w:space="0"/>
              <w:bottom w:val="single" w:color="000000" w:sz="8" w:space="0"/>
              <w:right w:val="single" w:color="000000" w:sz="8" w:space="0"/>
            </w:tcBorders>
            <w:shd w:val="clear" w:color="auto" w:fill="auto"/>
            <w:vAlign w:val="center"/>
          </w:tcPr>
          <w:p w14:paraId="7D3B471E">
            <w:pPr>
              <w:keepNext w:val="0"/>
              <w:keepLines w:val="0"/>
              <w:pageBreakBefore w:val="0"/>
              <w:kinsoku/>
              <w:wordWrap/>
              <w:overflowPunct/>
              <w:topLinePunct w:val="0"/>
              <w:autoSpaceDE/>
              <w:autoSpaceDN/>
              <w:bidi w:val="0"/>
              <w:spacing w:line="560" w:lineRule="exact"/>
              <w:jc w:val="left"/>
              <w:rPr>
                <w:rFonts w:hint="default" w:ascii="Times New Roman" w:hAnsi="Times New Roman" w:eastAsia="宋体" w:cs="Times New Roman"/>
                <w:i w:val="0"/>
                <w:iCs w:val="0"/>
                <w:color w:val="000000"/>
                <w:sz w:val="21"/>
                <w:szCs w:val="21"/>
                <w:u w:val="none"/>
              </w:rPr>
            </w:pPr>
          </w:p>
        </w:tc>
        <w:tc>
          <w:tcPr>
            <w:tcW w:w="307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4E8ADC">
            <w:pPr>
              <w:keepNext w:val="0"/>
              <w:keepLines w:val="0"/>
              <w:pageBreakBefore w:val="0"/>
              <w:kinsoku/>
              <w:wordWrap/>
              <w:overflowPunct/>
              <w:topLinePunct w:val="0"/>
              <w:autoSpaceDE/>
              <w:autoSpaceDN/>
              <w:bidi w:val="0"/>
              <w:spacing w:line="560" w:lineRule="exact"/>
              <w:jc w:val="left"/>
              <w:rPr>
                <w:rFonts w:hint="default" w:ascii="Times New Roman" w:hAnsi="Times New Roman" w:eastAsia="宋体" w:cs="Times New Roman"/>
                <w:i w:val="0"/>
                <w:iCs w:val="0"/>
                <w:color w:val="000000"/>
                <w:sz w:val="21"/>
                <w:szCs w:val="21"/>
                <w:u w:val="none"/>
              </w:rPr>
            </w:pPr>
          </w:p>
        </w:tc>
        <w:tc>
          <w:tcPr>
            <w:tcW w:w="79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600693">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r>
      <w:tr w14:paraId="0D41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18" w:type="dxa"/>
            <w:vMerge w:val="continue"/>
            <w:tcBorders>
              <w:top w:val="nil"/>
              <w:left w:val="single" w:color="000000" w:sz="8" w:space="0"/>
              <w:bottom w:val="single" w:color="000000" w:sz="8" w:space="0"/>
              <w:right w:val="single" w:color="000000" w:sz="8" w:space="0"/>
            </w:tcBorders>
            <w:shd w:val="clear" w:color="auto" w:fill="auto"/>
            <w:vAlign w:val="center"/>
          </w:tcPr>
          <w:p w14:paraId="0BEA0F5C">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8152DD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预算管理</w:t>
            </w:r>
          </w:p>
        </w:tc>
        <w:tc>
          <w:tcPr>
            <w:tcW w:w="3024" w:type="dxa"/>
            <w:tcBorders>
              <w:top w:val="nil"/>
              <w:left w:val="single" w:color="000000" w:sz="8" w:space="0"/>
              <w:bottom w:val="single" w:color="000000" w:sz="8" w:space="0"/>
              <w:right w:val="single" w:color="000000" w:sz="8" w:space="0"/>
            </w:tcBorders>
            <w:shd w:val="clear" w:color="auto" w:fill="auto"/>
            <w:vAlign w:val="center"/>
          </w:tcPr>
          <w:p w14:paraId="45FEF441">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w:t>
            </w:r>
            <w:r>
              <w:rPr>
                <w:rFonts w:hint="eastAsia" w:ascii="Times New Roman" w:hAnsi="Times New Roman" w:cs="Times New Roman"/>
                <w:i w:val="0"/>
                <w:iCs w:val="0"/>
                <w:color w:val="000000"/>
                <w:kern w:val="0"/>
                <w:sz w:val="21"/>
                <w:szCs w:val="21"/>
                <w:u w:val="none"/>
                <w:lang w:val="en-US" w:eastAsia="zh-CN" w:bidi="ar"/>
              </w:rPr>
              <w:t>合同管理、</w:t>
            </w:r>
            <w:r>
              <w:rPr>
                <w:rFonts w:hint="default" w:ascii="Times New Roman" w:hAnsi="Times New Roman" w:eastAsia="宋体" w:cs="Times New Roman"/>
                <w:i w:val="0"/>
                <w:iCs w:val="0"/>
                <w:color w:val="000000"/>
                <w:kern w:val="0"/>
                <w:sz w:val="21"/>
                <w:szCs w:val="21"/>
                <w:u w:val="none"/>
                <w:lang w:val="en-US" w:eastAsia="zh-CN" w:bidi="ar"/>
              </w:rPr>
              <w:t>管理制度健全性、管理制度执行情况、资金使用合规性、预决算信息公开性”</w:t>
            </w:r>
            <w:r>
              <w:rPr>
                <w:rFonts w:hint="eastAsia" w:ascii="Times New Roman" w:hAnsi="Times New Roman" w:cs="Times New Roman"/>
                <w:i w:val="0"/>
                <w:iCs w:val="0"/>
                <w:color w:val="000000"/>
                <w:kern w:val="0"/>
                <w:sz w:val="21"/>
                <w:szCs w:val="21"/>
                <w:u w:val="none"/>
                <w:lang w:val="en-US" w:eastAsia="zh-CN" w:bidi="ar"/>
              </w:rPr>
              <w:t>五</w:t>
            </w:r>
            <w:r>
              <w:rPr>
                <w:rFonts w:hint="default" w:ascii="Times New Roman" w:hAnsi="Times New Roman" w:eastAsia="宋体" w:cs="Times New Roman"/>
                <w:i w:val="0"/>
                <w:iCs w:val="0"/>
                <w:color w:val="000000"/>
                <w:kern w:val="0"/>
                <w:sz w:val="21"/>
                <w:szCs w:val="21"/>
                <w:u w:val="none"/>
                <w:lang w:val="en-US" w:eastAsia="zh-CN" w:bidi="ar"/>
              </w:rPr>
              <w:t>个方面进行评价。</w:t>
            </w:r>
          </w:p>
        </w:tc>
        <w:tc>
          <w:tcPr>
            <w:tcW w:w="3078" w:type="dxa"/>
            <w:tcBorders>
              <w:top w:val="nil"/>
              <w:left w:val="single" w:color="000000" w:sz="8" w:space="0"/>
              <w:bottom w:val="single" w:color="000000" w:sz="8" w:space="0"/>
              <w:right w:val="single" w:color="000000" w:sz="8" w:space="0"/>
            </w:tcBorders>
            <w:shd w:val="clear" w:color="auto" w:fill="auto"/>
            <w:vAlign w:val="center"/>
          </w:tcPr>
          <w:p w14:paraId="1117E5DA">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cs="Times New Roman"/>
                <w:i w:val="0"/>
                <w:iCs w:val="0"/>
                <w:color w:val="000000"/>
                <w:kern w:val="0"/>
                <w:sz w:val="21"/>
                <w:szCs w:val="21"/>
                <w:u w:val="none"/>
                <w:lang w:val="en-US" w:eastAsia="zh-CN" w:bidi="ar"/>
              </w:rPr>
              <w:t>88</w:t>
            </w:r>
            <w:r>
              <w:rPr>
                <w:rFonts w:hint="default" w:ascii="Times New Roman" w:hAnsi="Times New Roman" w:eastAsia="宋体" w:cs="Times New Roman"/>
                <w:i w:val="0"/>
                <w:iCs w:val="0"/>
                <w:color w:val="000000"/>
                <w:kern w:val="0"/>
                <w:sz w:val="21"/>
                <w:szCs w:val="21"/>
                <w:u w:val="none"/>
                <w:lang w:val="en-US" w:eastAsia="zh-CN" w:bidi="ar"/>
              </w:rPr>
              <w:t>%。该指标总分10分，依据评分标准得</w:t>
            </w:r>
            <w:r>
              <w:rPr>
                <w:rFonts w:hint="eastAsia" w:cs="Times New Roman"/>
                <w:i w:val="0"/>
                <w:iCs w:val="0"/>
                <w:color w:val="000000"/>
                <w:kern w:val="0"/>
                <w:sz w:val="21"/>
                <w:szCs w:val="21"/>
                <w:u w:val="none"/>
                <w:lang w:val="en-US" w:eastAsia="zh-CN" w:bidi="ar"/>
              </w:rPr>
              <w:t>8.8</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661E185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8.8</w:t>
            </w:r>
          </w:p>
        </w:tc>
      </w:tr>
      <w:tr w14:paraId="4E381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218" w:type="dxa"/>
            <w:vMerge w:val="continue"/>
            <w:tcBorders>
              <w:top w:val="nil"/>
              <w:left w:val="single" w:color="000000" w:sz="8" w:space="0"/>
              <w:bottom w:val="single" w:color="000000" w:sz="8" w:space="0"/>
              <w:right w:val="single" w:color="000000" w:sz="8" w:space="0"/>
            </w:tcBorders>
            <w:shd w:val="clear" w:color="auto" w:fill="auto"/>
            <w:vAlign w:val="center"/>
          </w:tcPr>
          <w:p w14:paraId="2B71514E">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3D9636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财务管理</w:t>
            </w:r>
          </w:p>
        </w:tc>
        <w:tc>
          <w:tcPr>
            <w:tcW w:w="3024" w:type="dxa"/>
            <w:tcBorders>
              <w:top w:val="nil"/>
              <w:left w:val="single" w:color="000000" w:sz="8" w:space="0"/>
              <w:bottom w:val="single" w:color="000000" w:sz="8" w:space="0"/>
              <w:right w:val="single" w:color="000000" w:sz="8" w:space="0"/>
            </w:tcBorders>
            <w:shd w:val="clear" w:color="auto" w:fill="auto"/>
            <w:vAlign w:val="center"/>
          </w:tcPr>
          <w:p w14:paraId="4F5E12D6">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从“财务信息完善性、资产管理安全性”两个方面进行评价。</w:t>
            </w:r>
          </w:p>
        </w:tc>
        <w:tc>
          <w:tcPr>
            <w:tcW w:w="3078" w:type="dxa"/>
            <w:tcBorders>
              <w:top w:val="nil"/>
              <w:left w:val="single" w:color="000000" w:sz="8" w:space="0"/>
              <w:bottom w:val="single" w:color="000000" w:sz="8" w:space="0"/>
              <w:right w:val="single" w:color="000000" w:sz="8" w:space="0"/>
            </w:tcBorders>
            <w:shd w:val="clear" w:color="auto" w:fill="auto"/>
            <w:vAlign w:val="center"/>
          </w:tcPr>
          <w:p w14:paraId="07ADE10B">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cs="Times New Roman"/>
                <w:i w:val="0"/>
                <w:iCs w:val="0"/>
                <w:color w:val="000000"/>
                <w:kern w:val="0"/>
                <w:sz w:val="21"/>
                <w:szCs w:val="21"/>
                <w:u w:val="none"/>
                <w:lang w:val="en-US" w:eastAsia="zh-CN" w:bidi="ar"/>
              </w:rPr>
              <w:t>85</w:t>
            </w:r>
            <w:r>
              <w:rPr>
                <w:rFonts w:hint="default" w:ascii="Times New Roman" w:hAnsi="Times New Roman" w:eastAsia="宋体" w:cs="Times New Roman"/>
                <w:i w:val="0"/>
                <w:iCs w:val="0"/>
                <w:color w:val="000000"/>
                <w:kern w:val="0"/>
                <w:sz w:val="21"/>
                <w:szCs w:val="21"/>
                <w:u w:val="none"/>
                <w:lang w:val="en-US" w:eastAsia="zh-CN" w:bidi="ar"/>
              </w:rPr>
              <w:t>%。该指标总分6分，依据评分标准得</w:t>
            </w:r>
            <w:r>
              <w:rPr>
                <w:rFonts w:hint="eastAsia" w:cs="Times New Roman"/>
                <w:i w:val="0"/>
                <w:iCs w:val="0"/>
                <w:color w:val="000000"/>
                <w:kern w:val="0"/>
                <w:sz w:val="21"/>
                <w:szCs w:val="21"/>
                <w:u w:val="none"/>
                <w:lang w:val="en-US" w:eastAsia="zh-CN" w:bidi="ar"/>
              </w:rPr>
              <w:t>5.10</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72D6FC8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5.10</w:t>
            </w:r>
          </w:p>
        </w:tc>
      </w:tr>
      <w:tr w14:paraId="6AC0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322" w:type="dxa"/>
            <w:gridSpan w:val="3"/>
            <w:tcBorders>
              <w:top w:val="nil"/>
              <w:left w:val="single" w:color="000000" w:sz="8" w:space="0"/>
              <w:bottom w:val="single" w:color="000000" w:sz="8" w:space="0"/>
              <w:right w:val="single" w:color="000000" w:sz="8" w:space="0"/>
            </w:tcBorders>
            <w:shd w:val="clear" w:color="auto" w:fill="auto"/>
            <w:vAlign w:val="center"/>
          </w:tcPr>
          <w:p w14:paraId="4FE56A3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小计</w:t>
            </w:r>
          </w:p>
        </w:tc>
        <w:tc>
          <w:tcPr>
            <w:tcW w:w="3078" w:type="dxa"/>
            <w:tcBorders>
              <w:top w:val="nil"/>
              <w:left w:val="single" w:color="000000" w:sz="8" w:space="0"/>
              <w:bottom w:val="single" w:color="000000" w:sz="8" w:space="0"/>
              <w:right w:val="single" w:color="000000" w:sz="8" w:space="0"/>
            </w:tcBorders>
            <w:shd w:val="clear" w:color="auto" w:fill="auto"/>
            <w:vAlign w:val="center"/>
          </w:tcPr>
          <w:p w14:paraId="19C15E2C">
            <w:pPr>
              <w:keepNext w:val="0"/>
              <w:keepLines w:val="0"/>
              <w:pageBreakBefore w:val="0"/>
              <w:kinsoku/>
              <w:wordWrap/>
              <w:overflowPunct/>
              <w:topLinePunct w:val="0"/>
              <w:autoSpaceDE/>
              <w:autoSpaceDN/>
              <w:bidi w:val="0"/>
              <w:spacing w:line="560" w:lineRule="exact"/>
              <w:jc w:val="left"/>
              <w:rPr>
                <w:rFonts w:hint="default" w:ascii="Times New Roman" w:hAnsi="Times New Roman" w:eastAsia="宋体" w:cs="Times New Roman"/>
                <w:i w:val="0"/>
                <w:iCs w:val="0"/>
                <w:color w:val="000000"/>
                <w:sz w:val="21"/>
                <w:szCs w:val="21"/>
                <w:u w:val="none"/>
              </w:rPr>
            </w:pPr>
          </w:p>
        </w:tc>
        <w:tc>
          <w:tcPr>
            <w:tcW w:w="792" w:type="dxa"/>
            <w:tcBorders>
              <w:top w:val="nil"/>
              <w:left w:val="single" w:color="000000" w:sz="8" w:space="0"/>
              <w:bottom w:val="single" w:color="000000" w:sz="8" w:space="0"/>
              <w:right w:val="single" w:color="000000" w:sz="8" w:space="0"/>
            </w:tcBorders>
            <w:shd w:val="clear" w:color="auto" w:fill="auto"/>
            <w:vAlign w:val="center"/>
          </w:tcPr>
          <w:p w14:paraId="702B766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22.70</w:t>
            </w:r>
          </w:p>
        </w:tc>
      </w:tr>
      <w:tr w14:paraId="4866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218" w:type="dxa"/>
            <w:vMerge w:val="restart"/>
            <w:tcBorders>
              <w:top w:val="nil"/>
              <w:left w:val="single" w:color="000000" w:sz="8" w:space="0"/>
              <w:bottom w:val="single" w:color="000000" w:sz="8" w:space="0"/>
              <w:right w:val="single" w:color="000000" w:sz="8" w:space="0"/>
            </w:tcBorders>
            <w:shd w:val="clear" w:color="auto" w:fill="auto"/>
            <w:vAlign w:val="center"/>
          </w:tcPr>
          <w:p w14:paraId="7F15916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产出（30分）</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B27736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产出数量</w:t>
            </w:r>
          </w:p>
        </w:tc>
        <w:tc>
          <w:tcPr>
            <w:tcW w:w="3024" w:type="dxa"/>
            <w:tcBorders>
              <w:top w:val="nil"/>
              <w:left w:val="single" w:color="000000" w:sz="8" w:space="0"/>
              <w:bottom w:val="single" w:color="000000" w:sz="8" w:space="0"/>
              <w:right w:val="single" w:color="000000" w:sz="8" w:space="0"/>
            </w:tcBorders>
            <w:shd w:val="clear" w:color="auto" w:fill="auto"/>
            <w:vAlign w:val="center"/>
          </w:tcPr>
          <w:p w14:paraId="08FAEBF3">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从“实施项目数量、延时服务幼儿数</w:t>
            </w:r>
            <w:r>
              <w:rPr>
                <w:rFonts w:hint="eastAsia" w:cs="Times New Roman"/>
                <w:i w:val="0"/>
                <w:iCs w:val="0"/>
                <w:color w:val="000000"/>
                <w:kern w:val="0"/>
                <w:sz w:val="21"/>
                <w:szCs w:val="21"/>
                <w:u w:val="none"/>
                <w:lang w:val="en-US" w:eastAsia="zh-CN" w:bidi="ar"/>
              </w:rPr>
              <w:t>、购买民办学校学位、</w:t>
            </w:r>
            <w:r>
              <w:rPr>
                <w:rFonts w:hint="default" w:ascii="Times New Roman" w:hAnsi="Times New Roman" w:eastAsia="宋体" w:cs="Times New Roman"/>
                <w:i w:val="0"/>
                <w:iCs w:val="0"/>
                <w:color w:val="000000"/>
                <w:kern w:val="0"/>
                <w:sz w:val="21"/>
                <w:szCs w:val="21"/>
                <w:u w:val="none"/>
                <w:lang w:val="en-US" w:eastAsia="zh-CN" w:bidi="ar"/>
              </w:rPr>
              <w:t>人员数量控制”</w:t>
            </w:r>
            <w:r>
              <w:rPr>
                <w:rFonts w:hint="eastAsia" w:cs="Times New Roman"/>
                <w:i w:val="0"/>
                <w:iCs w:val="0"/>
                <w:color w:val="000000"/>
                <w:kern w:val="0"/>
                <w:sz w:val="21"/>
                <w:szCs w:val="21"/>
                <w:u w:val="none"/>
                <w:lang w:val="en-US" w:eastAsia="zh-CN" w:bidi="ar"/>
              </w:rPr>
              <w:t>四</w:t>
            </w:r>
            <w:r>
              <w:rPr>
                <w:rFonts w:hint="eastAsia" w:ascii="Times New Roman" w:hAnsi="Times New Roman" w:cs="Times New Roman"/>
                <w:i w:val="0"/>
                <w:iCs w:val="0"/>
                <w:color w:val="000000"/>
                <w:kern w:val="0"/>
                <w:sz w:val="21"/>
                <w:szCs w:val="21"/>
                <w:u w:val="none"/>
                <w:lang w:val="en-US" w:eastAsia="zh-CN" w:bidi="ar"/>
              </w:rPr>
              <w:t>个方面</w:t>
            </w:r>
            <w:r>
              <w:rPr>
                <w:rFonts w:hint="default" w:ascii="Times New Roman" w:hAnsi="Times New Roman" w:eastAsia="宋体" w:cs="Times New Roman"/>
                <w:i w:val="0"/>
                <w:iCs w:val="0"/>
                <w:color w:val="000000"/>
                <w:kern w:val="0"/>
                <w:sz w:val="21"/>
                <w:szCs w:val="21"/>
                <w:u w:val="none"/>
                <w:lang w:val="en-US" w:eastAsia="zh-CN" w:bidi="ar"/>
              </w:rPr>
              <w:t>进行评价。</w:t>
            </w:r>
          </w:p>
        </w:tc>
        <w:tc>
          <w:tcPr>
            <w:tcW w:w="30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E85C1">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cs="Times New Roman"/>
                <w:i w:val="0"/>
                <w:iCs w:val="0"/>
                <w:color w:val="000000"/>
                <w:kern w:val="0"/>
                <w:sz w:val="21"/>
                <w:szCs w:val="21"/>
                <w:u w:val="none"/>
                <w:lang w:val="en-US" w:eastAsia="zh-CN" w:bidi="ar"/>
              </w:rPr>
              <w:t>95.75</w:t>
            </w:r>
            <w:r>
              <w:rPr>
                <w:rFonts w:hint="default" w:ascii="Times New Roman" w:hAnsi="Times New Roman" w:eastAsia="宋体" w:cs="Times New Roman"/>
                <w:i w:val="0"/>
                <w:iCs w:val="0"/>
                <w:color w:val="000000"/>
                <w:kern w:val="0"/>
                <w:sz w:val="21"/>
                <w:szCs w:val="21"/>
                <w:u w:val="none"/>
                <w:lang w:val="en-US" w:eastAsia="zh-CN" w:bidi="ar"/>
              </w:rPr>
              <w:t>%。该指标总分</w:t>
            </w:r>
            <w:r>
              <w:rPr>
                <w:rFonts w:hint="eastAsia" w:cs="Times New Roman"/>
                <w:i w:val="0"/>
                <w:iCs w:val="0"/>
                <w:color w:val="000000"/>
                <w:kern w:val="0"/>
                <w:sz w:val="21"/>
                <w:szCs w:val="21"/>
                <w:u w:val="none"/>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分，依据评分标准得</w:t>
            </w:r>
            <w:r>
              <w:rPr>
                <w:rFonts w:hint="eastAsia" w:cs="Times New Roman"/>
                <w:i w:val="0"/>
                <w:iCs w:val="0"/>
                <w:color w:val="000000"/>
                <w:kern w:val="0"/>
                <w:sz w:val="21"/>
                <w:szCs w:val="21"/>
                <w:u w:val="none"/>
                <w:lang w:val="en-US" w:eastAsia="zh-CN" w:bidi="ar"/>
              </w:rPr>
              <w:t>11.49</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09ED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11.49</w:t>
            </w:r>
          </w:p>
        </w:tc>
      </w:tr>
      <w:tr w14:paraId="3676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18" w:type="dxa"/>
            <w:vMerge w:val="continue"/>
            <w:tcBorders>
              <w:top w:val="nil"/>
              <w:left w:val="single" w:color="000000" w:sz="8" w:space="0"/>
              <w:bottom w:val="single" w:color="000000" w:sz="8" w:space="0"/>
              <w:right w:val="single" w:color="000000" w:sz="8" w:space="0"/>
            </w:tcBorders>
            <w:shd w:val="clear" w:color="auto" w:fill="auto"/>
            <w:vAlign w:val="center"/>
          </w:tcPr>
          <w:p w14:paraId="1ED4EB5C">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5BEECA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产出质量</w:t>
            </w:r>
          </w:p>
        </w:tc>
        <w:tc>
          <w:tcPr>
            <w:tcW w:w="3024" w:type="dxa"/>
            <w:tcBorders>
              <w:top w:val="nil"/>
              <w:left w:val="single" w:color="000000" w:sz="8" w:space="0"/>
              <w:bottom w:val="single" w:color="000000" w:sz="8" w:space="0"/>
              <w:right w:val="single" w:color="000000" w:sz="8" w:space="0"/>
            </w:tcBorders>
            <w:shd w:val="clear" w:color="auto" w:fill="auto"/>
            <w:vAlign w:val="center"/>
          </w:tcPr>
          <w:p w14:paraId="68E9BE55">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从“项目实际完成情况”一个方面进行评价。</w:t>
            </w:r>
          </w:p>
        </w:tc>
        <w:tc>
          <w:tcPr>
            <w:tcW w:w="3078" w:type="dxa"/>
            <w:tcBorders>
              <w:top w:val="nil"/>
              <w:left w:val="single" w:color="000000" w:sz="8" w:space="0"/>
              <w:bottom w:val="single" w:color="000000" w:sz="8" w:space="0"/>
              <w:right w:val="single" w:color="000000" w:sz="8" w:space="0"/>
            </w:tcBorders>
            <w:shd w:val="clear" w:color="auto" w:fill="auto"/>
            <w:vAlign w:val="center"/>
          </w:tcPr>
          <w:p w14:paraId="78755681">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该指标得分率为100%。该指标总分</w:t>
            </w:r>
            <w:r>
              <w:rPr>
                <w:rFonts w:hint="eastAsia"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分，依据评分标准得</w:t>
            </w:r>
            <w:r>
              <w:rPr>
                <w:rFonts w:hint="eastAsia"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19C8DDB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4</w:t>
            </w:r>
          </w:p>
        </w:tc>
      </w:tr>
      <w:tr w14:paraId="4473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18" w:type="dxa"/>
            <w:vMerge w:val="continue"/>
            <w:tcBorders>
              <w:top w:val="nil"/>
              <w:left w:val="single" w:color="000000" w:sz="8" w:space="0"/>
              <w:bottom w:val="single" w:color="000000" w:sz="8" w:space="0"/>
              <w:right w:val="single" w:color="000000" w:sz="8" w:space="0"/>
            </w:tcBorders>
            <w:shd w:val="clear" w:color="auto" w:fill="auto"/>
            <w:vAlign w:val="center"/>
          </w:tcPr>
          <w:p w14:paraId="4386753D">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0B1F7D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产出时效</w:t>
            </w:r>
          </w:p>
        </w:tc>
        <w:tc>
          <w:tcPr>
            <w:tcW w:w="3024" w:type="dxa"/>
            <w:tcBorders>
              <w:top w:val="nil"/>
              <w:left w:val="single" w:color="000000" w:sz="8" w:space="0"/>
              <w:bottom w:val="single" w:color="000000" w:sz="8" w:space="0"/>
              <w:right w:val="single" w:color="000000" w:sz="8" w:space="0"/>
            </w:tcBorders>
            <w:shd w:val="clear" w:color="auto" w:fill="auto"/>
            <w:vAlign w:val="center"/>
          </w:tcPr>
          <w:p w14:paraId="165B343A">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从“项目</w:t>
            </w:r>
            <w:r>
              <w:rPr>
                <w:rFonts w:hint="eastAsia" w:ascii="Times New Roman" w:hAnsi="Times New Roman" w:cs="Times New Roman"/>
                <w:i w:val="0"/>
                <w:iCs w:val="0"/>
                <w:color w:val="000000"/>
                <w:kern w:val="0"/>
                <w:sz w:val="21"/>
                <w:szCs w:val="21"/>
                <w:u w:val="none"/>
                <w:lang w:val="en-US" w:eastAsia="zh-CN" w:bidi="ar"/>
              </w:rPr>
              <w:t>完成</w:t>
            </w:r>
            <w:r>
              <w:rPr>
                <w:rFonts w:hint="default" w:ascii="Times New Roman" w:hAnsi="Times New Roman" w:eastAsia="宋体" w:cs="Times New Roman"/>
                <w:i w:val="0"/>
                <w:iCs w:val="0"/>
                <w:color w:val="000000"/>
                <w:kern w:val="0"/>
                <w:sz w:val="21"/>
                <w:szCs w:val="21"/>
                <w:u w:val="none"/>
                <w:lang w:val="en-US" w:eastAsia="zh-CN" w:bidi="ar"/>
              </w:rPr>
              <w:t>时效性”一个方面进行评价</w:t>
            </w:r>
          </w:p>
        </w:tc>
        <w:tc>
          <w:tcPr>
            <w:tcW w:w="3078" w:type="dxa"/>
            <w:tcBorders>
              <w:top w:val="nil"/>
              <w:left w:val="single" w:color="000000" w:sz="8" w:space="0"/>
              <w:bottom w:val="single" w:color="000000" w:sz="8" w:space="0"/>
              <w:right w:val="single" w:color="000000" w:sz="8" w:space="0"/>
            </w:tcBorders>
            <w:shd w:val="clear" w:color="auto" w:fill="auto"/>
            <w:vAlign w:val="center"/>
          </w:tcPr>
          <w:p w14:paraId="5614307F">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%。该指标总分</w:t>
            </w:r>
            <w:r>
              <w:rPr>
                <w:rFonts w:hint="eastAsia"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分，依据评分标准得</w:t>
            </w:r>
            <w:r>
              <w:rPr>
                <w:rFonts w:hint="eastAsia"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576A3FD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4</w:t>
            </w:r>
          </w:p>
        </w:tc>
      </w:tr>
      <w:tr w14:paraId="6644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1218" w:type="dxa"/>
            <w:vMerge w:val="continue"/>
            <w:tcBorders>
              <w:top w:val="nil"/>
              <w:left w:val="single" w:color="000000" w:sz="8" w:space="0"/>
              <w:bottom w:val="single" w:color="000000" w:sz="8" w:space="0"/>
              <w:right w:val="single" w:color="000000" w:sz="8" w:space="0"/>
            </w:tcBorders>
            <w:shd w:val="clear" w:color="auto" w:fill="auto"/>
            <w:vAlign w:val="center"/>
          </w:tcPr>
          <w:p w14:paraId="52283EB8">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27CAA4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产出成本</w:t>
            </w:r>
          </w:p>
        </w:tc>
        <w:tc>
          <w:tcPr>
            <w:tcW w:w="3024" w:type="dxa"/>
            <w:tcBorders>
              <w:top w:val="nil"/>
              <w:left w:val="single" w:color="000000" w:sz="8" w:space="0"/>
              <w:bottom w:val="single" w:color="000000" w:sz="8" w:space="0"/>
              <w:right w:val="single" w:color="000000" w:sz="8" w:space="0"/>
            </w:tcBorders>
            <w:shd w:val="clear" w:color="auto" w:fill="auto"/>
            <w:vAlign w:val="center"/>
          </w:tcPr>
          <w:p w14:paraId="11D74412">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从“整体支出成本、项目支出成本”两个方面进行评价</w:t>
            </w:r>
          </w:p>
        </w:tc>
        <w:tc>
          <w:tcPr>
            <w:tcW w:w="3078" w:type="dxa"/>
            <w:tcBorders>
              <w:top w:val="nil"/>
              <w:left w:val="single" w:color="000000" w:sz="8" w:space="0"/>
              <w:bottom w:val="single" w:color="000000" w:sz="8" w:space="0"/>
              <w:right w:val="single" w:color="000000" w:sz="8" w:space="0"/>
            </w:tcBorders>
            <w:shd w:val="clear" w:color="auto" w:fill="auto"/>
            <w:vAlign w:val="center"/>
          </w:tcPr>
          <w:p w14:paraId="75949389">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该指标得分率为100%。该指标总分10分，依据评分标准得10分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23B359A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14:paraId="6A7A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322" w:type="dxa"/>
            <w:gridSpan w:val="3"/>
            <w:tcBorders>
              <w:top w:val="nil"/>
              <w:left w:val="single" w:color="000000" w:sz="8" w:space="0"/>
              <w:bottom w:val="single" w:color="000000" w:sz="8" w:space="0"/>
              <w:right w:val="single" w:color="000000" w:sz="8" w:space="0"/>
            </w:tcBorders>
            <w:shd w:val="clear" w:color="auto" w:fill="auto"/>
            <w:vAlign w:val="center"/>
          </w:tcPr>
          <w:p w14:paraId="46EB3F3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小计</w:t>
            </w:r>
          </w:p>
        </w:tc>
        <w:tc>
          <w:tcPr>
            <w:tcW w:w="3078" w:type="dxa"/>
            <w:tcBorders>
              <w:top w:val="nil"/>
              <w:left w:val="single" w:color="000000" w:sz="8" w:space="0"/>
              <w:bottom w:val="single" w:color="000000" w:sz="8" w:space="0"/>
              <w:right w:val="single" w:color="000000" w:sz="8" w:space="0"/>
            </w:tcBorders>
            <w:shd w:val="clear" w:color="auto" w:fill="auto"/>
            <w:vAlign w:val="center"/>
          </w:tcPr>
          <w:p w14:paraId="5BB0D858">
            <w:pPr>
              <w:keepNext w:val="0"/>
              <w:keepLines w:val="0"/>
              <w:pageBreakBefore w:val="0"/>
              <w:kinsoku/>
              <w:wordWrap/>
              <w:overflowPunct/>
              <w:topLinePunct w:val="0"/>
              <w:autoSpaceDE/>
              <w:autoSpaceDN/>
              <w:bidi w:val="0"/>
              <w:spacing w:line="560" w:lineRule="exact"/>
              <w:jc w:val="left"/>
              <w:rPr>
                <w:rFonts w:hint="default" w:ascii="Times New Roman" w:hAnsi="Times New Roman" w:eastAsia="宋体" w:cs="Times New Roman"/>
                <w:b/>
                <w:bCs/>
                <w:i w:val="0"/>
                <w:iCs w:val="0"/>
                <w:color w:val="000000"/>
                <w:sz w:val="21"/>
                <w:szCs w:val="21"/>
                <w:u w:val="none"/>
              </w:rPr>
            </w:pPr>
          </w:p>
        </w:tc>
        <w:tc>
          <w:tcPr>
            <w:tcW w:w="792" w:type="dxa"/>
            <w:tcBorders>
              <w:top w:val="nil"/>
              <w:left w:val="single" w:color="000000" w:sz="8" w:space="0"/>
              <w:bottom w:val="single" w:color="000000" w:sz="8" w:space="0"/>
              <w:right w:val="single" w:color="000000" w:sz="8" w:space="0"/>
            </w:tcBorders>
            <w:shd w:val="clear" w:color="auto" w:fill="auto"/>
            <w:vAlign w:val="center"/>
          </w:tcPr>
          <w:p w14:paraId="1E3931B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cs="Times New Roman"/>
                <w:i w:val="0"/>
                <w:iCs w:val="0"/>
                <w:color w:val="000000"/>
                <w:sz w:val="21"/>
                <w:szCs w:val="21"/>
                <w:u w:val="none"/>
                <w:lang w:val="en-US" w:eastAsia="zh-CN"/>
              </w:rPr>
              <w:t>2</w:t>
            </w:r>
            <w:r>
              <w:rPr>
                <w:rFonts w:hint="eastAsia" w:cs="Times New Roman"/>
                <w:i w:val="0"/>
                <w:iCs w:val="0"/>
                <w:color w:val="000000"/>
                <w:sz w:val="21"/>
                <w:szCs w:val="21"/>
                <w:u w:val="none"/>
                <w:lang w:val="en-US" w:eastAsia="zh-CN"/>
              </w:rPr>
              <w:t>9</w:t>
            </w:r>
            <w:r>
              <w:rPr>
                <w:rFonts w:hint="eastAsia" w:ascii="Times New Roman" w:hAnsi="Times New Roman" w:cs="Times New Roman"/>
                <w:i w:val="0"/>
                <w:iCs w:val="0"/>
                <w:color w:val="000000"/>
                <w:sz w:val="21"/>
                <w:szCs w:val="21"/>
                <w:u w:val="none"/>
                <w:lang w:val="en-US" w:eastAsia="zh-CN"/>
              </w:rPr>
              <w:t>.</w:t>
            </w:r>
            <w:r>
              <w:rPr>
                <w:rFonts w:hint="eastAsia" w:cs="Times New Roman"/>
                <w:i w:val="0"/>
                <w:iCs w:val="0"/>
                <w:color w:val="000000"/>
                <w:sz w:val="21"/>
                <w:szCs w:val="21"/>
                <w:u w:val="none"/>
                <w:lang w:val="en-US" w:eastAsia="zh-CN"/>
              </w:rPr>
              <w:t>49</w:t>
            </w:r>
          </w:p>
        </w:tc>
      </w:tr>
      <w:tr w14:paraId="230B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218" w:type="dxa"/>
            <w:tcBorders>
              <w:top w:val="nil"/>
              <w:left w:val="single" w:color="000000" w:sz="8" w:space="0"/>
              <w:bottom w:val="nil"/>
              <w:right w:val="single" w:color="000000" w:sz="8" w:space="0"/>
            </w:tcBorders>
            <w:shd w:val="clear" w:color="auto" w:fill="auto"/>
            <w:vAlign w:val="center"/>
          </w:tcPr>
          <w:p w14:paraId="160E28B4">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63ADE5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经济效益</w:t>
            </w:r>
          </w:p>
        </w:tc>
        <w:tc>
          <w:tcPr>
            <w:tcW w:w="3024" w:type="dxa"/>
            <w:tcBorders>
              <w:top w:val="nil"/>
              <w:left w:val="single" w:color="000000" w:sz="8" w:space="0"/>
              <w:bottom w:val="single" w:color="000000" w:sz="8" w:space="0"/>
              <w:right w:val="single" w:color="000000" w:sz="8" w:space="0"/>
            </w:tcBorders>
            <w:shd w:val="clear" w:color="auto" w:fill="auto"/>
            <w:vAlign w:val="center"/>
          </w:tcPr>
          <w:p w14:paraId="1FD4B03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从“促进经济发展”</w:t>
            </w:r>
            <w:r>
              <w:rPr>
                <w:rFonts w:hint="eastAsia" w:cs="Times New Roman"/>
                <w:i w:val="0"/>
                <w:iCs w:val="0"/>
                <w:color w:val="000000"/>
                <w:kern w:val="0"/>
                <w:sz w:val="21"/>
                <w:szCs w:val="21"/>
                <w:u w:val="none"/>
                <w:lang w:val="en-US" w:eastAsia="zh-CN" w:bidi="ar"/>
              </w:rPr>
              <w:t>一</w:t>
            </w:r>
            <w:r>
              <w:rPr>
                <w:rFonts w:hint="default" w:ascii="Times New Roman" w:hAnsi="Times New Roman" w:eastAsia="宋体" w:cs="Times New Roman"/>
                <w:i w:val="0"/>
                <w:iCs w:val="0"/>
                <w:color w:val="000000"/>
                <w:kern w:val="0"/>
                <w:sz w:val="21"/>
                <w:szCs w:val="21"/>
                <w:u w:val="none"/>
                <w:lang w:val="en-US" w:eastAsia="zh-CN" w:bidi="ar"/>
              </w:rPr>
              <w:t>个方面进行评价。</w:t>
            </w:r>
          </w:p>
        </w:tc>
        <w:tc>
          <w:tcPr>
            <w:tcW w:w="3078" w:type="dxa"/>
            <w:tcBorders>
              <w:top w:val="nil"/>
              <w:left w:val="single" w:color="000000" w:sz="8" w:space="0"/>
              <w:bottom w:val="single" w:color="000000" w:sz="8" w:space="0"/>
              <w:right w:val="single" w:color="000000" w:sz="8" w:space="0"/>
            </w:tcBorders>
            <w:shd w:val="clear" w:color="auto" w:fill="auto"/>
            <w:vAlign w:val="center"/>
          </w:tcPr>
          <w:p w14:paraId="21574C1E">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ascii="Times New Roman" w:hAnsi="Times New Roman"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%。该指标总分</w:t>
            </w:r>
            <w:r>
              <w:rPr>
                <w:rFonts w:hint="eastAsia"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分，依据评分标准得</w:t>
            </w:r>
            <w:r>
              <w:rPr>
                <w:rFonts w:hint="eastAsia"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5A21897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3</w:t>
            </w:r>
          </w:p>
        </w:tc>
      </w:tr>
      <w:tr w14:paraId="44B7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18" w:type="dxa"/>
            <w:vMerge w:val="restart"/>
            <w:tcBorders>
              <w:top w:val="nil"/>
              <w:left w:val="single" w:color="000000" w:sz="8" w:space="0"/>
              <w:bottom w:val="single" w:color="000000" w:sz="8" w:space="0"/>
              <w:right w:val="single" w:color="000000" w:sz="8" w:space="0"/>
            </w:tcBorders>
            <w:shd w:val="clear" w:color="auto" w:fill="auto"/>
            <w:vAlign w:val="center"/>
          </w:tcPr>
          <w:p w14:paraId="0DB7E7C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效益（30分）</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CF93912">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社会效益</w:t>
            </w:r>
          </w:p>
        </w:tc>
        <w:tc>
          <w:tcPr>
            <w:tcW w:w="3024" w:type="dxa"/>
            <w:tcBorders>
              <w:top w:val="nil"/>
              <w:left w:val="single" w:color="000000" w:sz="8" w:space="0"/>
              <w:bottom w:val="single" w:color="000000" w:sz="8" w:space="0"/>
              <w:right w:val="single" w:color="000000" w:sz="8" w:space="0"/>
            </w:tcBorders>
            <w:shd w:val="clear" w:color="auto" w:fill="auto"/>
            <w:vAlign w:val="center"/>
          </w:tcPr>
          <w:p w14:paraId="22A32B57">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从“提高教育质量</w:t>
            </w:r>
            <w:r>
              <w:rPr>
                <w:rFonts w:hint="eastAsia" w:cs="Times New Roman"/>
                <w:i w:val="0"/>
                <w:iCs w:val="0"/>
                <w:color w:val="000000"/>
                <w:kern w:val="0"/>
                <w:sz w:val="21"/>
                <w:szCs w:val="21"/>
                <w:u w:val="none"/>
                <w:lang w:val="en-US" w:eastAsia="zh-CN" w:bidi="ar"/>
              </w:rPr>
              <w:t>、巩固校园安全、教育民生进一步落实</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三</w:t>
            </w:r>
            <w:r>
              <w:rPr>
                <w:rFonts w:hint="default" w:ascii="Times New Roman" w:hAnsi="Times New Roman" w:eastAsia="宋体" w:cs="Times New Roman"/>
                <w:i w:val="0"/>
                <w:iCs w:val="0"/>
                <w:color w:val="000000"/>
                <w:kern w:val="0"/>
                <w:sz w:val="21"/>
                <w:szCs w:val="21"/>
                <w:u w:val="none"/>
                <w:lang w:val="en-US" w:eastAsia="zh-CN" w:bidi="ar"/>
              </w:rPr>
              <w:t>个方面进行评价。</w:t>
            </w:r>
          </w:p>
        </w:tc>
        <w:tc>
          <w:tcPr>
            <w:tcW w:w="30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47B30">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ascii="Times New Roman" w:hAnsi="Times New Roman"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%。该指标总分</w:t>
            </w:r>
            <w:r>
              <w:rPr>
                <w:rFonts w:hint="eastAsia" w:cs="Times New Roman"/>
                <w:i w:val="0"/>
                <w:iCs w:val="0"/>
                <w:color w:val="000000"/>
                <w:kern w:val="0"/>
                <w:sz w:val="21"/>
                <w:szCs w:val="21"/>
                <w:u w:val="none"/>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分，依据评分标准得</w:t>
            </w:r>
            <w:r>
              <w:rPr>
                <w:rFonts w:hint="eastAsia" w:cs="Times New Roman"/>
                <w:i w:val="0"/>
                <w:iCs w:val="0"/>
                <w:color w:val="000000"/>
                <w:kern w:val="0"/>
                <w:sz w:val="21"/>
                <w:szCs w:val="21"/>
                <w:u w:val="none"/>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9E615">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9</w:t>
            </w:r>
          </w:p>
        </w:tc>
      </w:tr>
      <w:tr w14:paraId="3BEA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1218" w:type="dxa"/>
            <w:vMerge w:val="continue"/>
            <w:tcBorders>
              <w:top w:val="nil"/>
              <w:left w:val="single" w:color="000000" w:sz="8" w:space="0"/>
              <w:bottom w:val="single" w:color="000000" w:sz="8" w:space="0"/>
              <w:right w:val="single" w:color="000000" w:sz="8" w:space="0"/>
            </w:tcBorders>
            <w:shd w:val="clear" w:color="auto" w:fill="auto"/>
            <w:vAlign w:val="center"/>
          </w:tcPr>
          <w:p w14:paraId="78A98FA5">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F5917D4">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生态效益</w:t>
            </w:r>
          </w:p>
        </w:tc>
        <w:tc>
          <w:tcPr>
            <w:tcW w:w="3024" w:type="dxa"/>
            <w:tcBorders>
              <w:top w:val="nil"/>
              <w:left w:val="single" w:color="000000" w:sz="8" w:space="0"/>
              <w:bottom w:val="single" w:color="000000" w:sz="8" w:space="0"/>
              <w:right w:val="single" w:color="000000" w:sz="8" w:space="0"/>
            </w:tcBorders>
            <w:shd w:val="clear" w:color="auto" w:fill="auto"/>
            <w:vAlign w:val="center"/>
          </w:tcPr>
          <w:p w14:paraId="1B53D6FA">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从“维护教学及生态环境”一个方面进行评价。</w:t>
            </w:r>
          </w:p>
        </w:tc>
        <w:tc>
          <w:tcPr>
            <w:tcW w:w="3078" w:type="dxa"/>
            <w:tcBorders>
              <w:top w:val="nil"/>
              <w:left w:val="single" w:color="000000" w:sz="8" w:space="0"/>
              <w:bottom w:val="single" w:color="000000" w:sz="8" w:space="0"/>
              <w:right w:val="single" w:color="000000" w:sz="8" w:space="0"/>
            </w:tcBorders>
            <w:shd w:val="clear" w:color="auto" w:fill="auto"/>
            <w:vAlign w:val="center"/>
          </w:tcPr>
          <w:p w14:paraId="418E05C6">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ascii="Times New Roman" w:hAnsi="Times New Roman" w:cs="Times New Roman"/>
                <w:i w:val="0"/>
                <w:iCs w:val="0"/>
                <w:color w:val="000000"/>
                <w:kern w:val="0"/>
                <w:sz w:val="21"/>
                <w:szCs w:val="21"/>
                <w:u w:val="none"/>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0%。该指标总分</w:t>
            </w:r>
            <w:r>
              <w:rPr>
                <w:rFonts w:hint="eastAsia" w:ascii="Times New Roman" w:hAnsi="Times New Roman"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分，依据评分标准得4分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460DE83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4</w:t>
            </w:r>
          </w:p>
        </w:tc>
      </w:tr>
      <w:tr w14:paraId="077A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1218" w:type="dxa"/>
            <w:vMerge w:val="continue"/>
            <w:tcBorders>
              <w:top w:val="nil"/>
              <w:left w:val="single" w:color="000000" w:sz="8" w:space="0"/>
              <w:bottom w:val="single" w:color="000000" w:sz="8" w:space="0"/>
              <w:right w:val="single" w:color="000000" w:sz="8" w:space="0"/>
            </w:tcBorders>
            <w:shd w:val="clear" w:color="auto" w:fill="auto"/>
            <w:vAlign w:val="center"/>
          </w:tcPr>
          <w:p w14:paraId="4742C884">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C06FC5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可持续性</w:t>
            </w:r>
          </w:p>
        </w:tc>
        <w:tc>
          <w:tcPr>
            <w:tcW w:w="3024" w:type="dxa"/>
            <w:tcBorders>
              <w:top w:val="nil"/>
              <w:left w:val="single" w:color="000000" w:sz="8" w:space="0"/>
              <w:bottom w:val="single" w:color="000000" w:sz="8" w:space="0"/>
              <w:right w:val="single" w:color="000000" w:sz="8" w:space="0"/>
            </w:tcBorders>
            <w:shd w:val="clear" w:color="auto" w:fill="auto"/>
            <w:vAlign w:val="center"/>
          </w:tcPr>
          <w:p w14:paraId="315B4598">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从“长效管护制度”一个方面进行评价。</w:t>
            </w:r>
          </w:p>
        </w:tc>
        <w:tc>
          <w:tcPr>
            <w:tcW w:w="3078" w:type="dxa"/>
            <w:tcBorders>
              <w:top w:val="nil"/>
              <w:left w:val="single" w:color="000000" w:sz="8" w:space="0"/>
              <w:bottom w:val="single" w:color="000000" w:sz="8" w:space="0"/>
              <w:right w:val="single" w:color="000000" w:sz="8" w:space="0"/>
            </w:tcBorders>
            <w:shd w:val="clear" w:color="auto" w:fill="auto"/>
            <w:vAlign w:val="center"/>
          </w:tcPr>
          <w:p w14:paraId="6DEF9138">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ascii="Times New Roman" w:hAnsi="Times New Roman" w:cs="Times New Roman"/>
                <w:i w:val="0"/>
                <w:iCs w:val="0"/>
                <w:color w:val="000000"/>
                <w:kern w:val="0"/>
                <w:sz w:val="21"/>
                <w:szCs w:val="21"/>
                <w:u w:val="none"/>
                <w:lang w:val="en-US" w:eastAsia="zh-CN" w:bidi="ar"/>
              </w:rPr>
              <w:t>75</w:t>
            </w:r>
            <w:r>
              <w:rPr>
                <w:rFonts w:hint="default" w:ascii="Times New Roman" w:hAnsi="Times New Roman" w:eastAsia="宋体" w:cs="Times New Roman"/>
                <w:i w:val="0"/>
                <w:iCs w:val="0"/>
                <w:color w:val="000000"/>
                <w:kern w:val="0"/>
                <w:sz w:val="21"/>
                <w:szCs w:val="21"/>
                <w:u w:val="none"/>
                <w:lang w:val="en-US" w:eastAsia="zh-CN" w:bidi="ar"/>
              </w:rPr>
              <w:t>%。该指标总分</w:t>
            </w:r>
            <w:r>
              <w:rPr>
                <w:rFonts w:hint="eastAsia" w:ascii="Times New Roman" w:hAnsi="Times New Roman"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分，依据评分标准得</w:t>
            </w:r>
            <w:r>
              <w:rPr>
                <w:rFonts w:hint="eastAsia" w:ascii="Times New Roman" w:hAnsi="Times New Roman"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0D2F22C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cs="Times New Roman"/>
                <w:i w:val="0"/>
                <w:iCs w:val="0"/>
                <w:color w:val="000000"/>
                <w:kern w:val="0"/>
                <w:sz w:val="21"/>
                <w:szCs w:val="21"/>
                <w:u w:val="none"/>
                <w:lang w:val="en-US" w:eastAsia="zh-CN" w:bidi="ar"/>
              </w:rPr>
              <w:t>3</w:t>
            </w:r>
          </w:p>
        </w:tc>
      </w:tr>
      <w:tr w14:paraId="7260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1218" w:type="dxa"/>
            <w:vMerge w:val="continue"/>
            <w:tcBorders>
              <w:top w:val="nil"/>
              <w:left w:val="single" w:color="000000" w:sz="8" w:space="0"/>
              <w:bottom w:val="single" w:color="000000" w:sz="8" w:space="0"/>
              <w:right w:val="single" w:color="000000" w:sz="8" w:space="0"/>
            </w:tcBorders>
            <w:shd w:val="clear" w:color="auto" w:fill="auto"/>
            <w:vAlign w:val="center"/>
          </w:tcPr>
          <w:p w14:paraId="0088D0B5">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i w:val="0"/>
                <w:iCs w:val="0"/>
                <w:color w:val="000000"/>
                <w:sz w:val="21"/>
                <w:szCs w:val="21"/>
                <w:u w:val="none"/>
              </w:rPr>
            </w:pP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615236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满意度</w:t>
            </w:r>
          </w:p>
        </w:tc>
        <w:tc>
          <w:tcPr>
            <w:tcW w:w="3024" w:type="dxa"/>
            <w:tcBorders>
              <w:top w:val="nil"/>
              <w:left w:val="single" w:color="000000" w:sz="8" w:space="0"/>
              <w:bottom w:val="single" w:color="000000" w:sz="8" w:space="0"/>
              <w:right w:val="single" w:color="000000" w:sz="8" w:space="0"/>
            </w:tcBorders>
            <w:shd w:val="clear" w:color="auto" w:fill="auto"/>
            <w:vAlign w:val="center"/>
          </w:tcPr>
          <w:p w14:paraId="4BBB45D5">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从“服务对象的满意度”一个方面进行评价</w:t>
            </w:r>
          </w:p>
        </w:tc>
        <w:tc>
          <w:tcPr>
            <w:tcW w:w="3078" w:type="dxa"/>
            <w:tcBorders>
              <w:top w:val="nil"/>
              <w:left w:val="single" w:color="000000" w:sz="8" w:space="0"/>
              <w:bottom w:val="single" w:color="000000" w:sz="8" w:space="0"/>
              <w:right w:val="single" w:color="000000" w:sz="8" w:space="0"/>
            </w:tcBorders>
            <w:shd w:val="clear" w:color="auto" w:fill="auto"/>
            <w:vAlign w:val="center"/>
          </w:tcPr>
          <w:p w14:paraId="687EECFF">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该指标得分率为</w:t>
            </w:r>
            <w:r>
              <w:rPr>
                <w:rFonts w:hint="eastAsia" w:ascii="Times New Roman" w:hAnsi="Times New Roman" w:cs="Times New Roman"/>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%。群众满意度≥95%得10分。该指标总分10分，依据评分标准得10分。</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7B603FB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r>
      <w:tr w14:paraId="5053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322" w:type="dxa"/>
            <w:gridSpan w:val="3"/>
            <w:tcBorders>
              <w:top w:val="nil"/>
              <w:left w:val="single" w:color="000000" w:sz="8" w:space="0"/>
              <w:bottom w:val="single" w:color="000000" w:sz="8" w:space="0"/>
              <w:right w:val="single" w:color="000000" w:sz="8" w:space="0"/>
            </w:tcBorders>
            <w:shd w:val="clear" w:color="auto" w:fill="auto"/>
            <w:vAlign w:val="center"/>
          </w:tcPr>
          <w:p w14:paraId="58AE6553">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小计</w:t>
            </w:r>
          </w:p>
        </w:tc>
        <w:tc>
          <w:tcPr>
            <w:tcW w:w="3078" w:type="dxa"/>
            <w:tcBorders>
              <w:top w:val="nil"/>
              <w:left w:val="single" w:color="000000" w:sz="8" w:space="0"/>
              <w:bottom w:val="single" w:color="000000" w:sz="8" w:space="0"/>
              <w:right w:val="single" w:color="000000" w:sz="8" w:space="0"/>
            </w:tcBorders>
            <w:shd w:val="clear" w:color="auto" w:fill="auto"/>
            <w:vAlign w:val="center"/>
          </w:tcPr>
          <w:p w14:paraId="28A73530">
            <w:pPr>
              <w:keepNext w:val="0"/>
              <w:keepLines w:val="0"/>
              <w:pageBreakBefore w:val="0"/>
              <w:kinsoku/>
              <w:wordWrap/>
              <w:overflowPunct/>
              <w:topLinePunct w:val="0"/>
              <w:autoSpaceDE/>
              <w:autoSpaceDN/>
              <w:bidi w:val="0"/>
              <w:spacing w:line="560" w:lineRule="exact"/>
              <w:jc w:val="left"/>
              <w:rPr>
                <w:rFonts w:hint="default" w:ascii="Times New Roman" w:hAnsi="Times New Roman" w:eastAsia="宋体" w:cs="Times New Roman"/>
                <w:i w:val="0"/>
                <w:iCs w:val="0"/>
                <w:color w:val="000000"/>
                <w:sz w:val="21"/>
                <w:szCs w:val="21"/>
                <w:u w:val="none"/>
              </w:rPr>
            </w:pPr>
          </w:p>
        </w:tc>
        <w:tc>
          <w:tcPr>
            <w:tcW w:w="792" w:type="dxa"/>
            <w:tcBorders>
              <w:top w:val="nil"/>
              <w:left w:val="single" w:color="000000" w:sz="8" w:space="0"/>
              <w:bottom w:val="single" w:color="000000" w:sz="8" w:space="0"/>
              <w:right w:val="single" w:color="000000" w:sz="8" w:space="0"/>
            </w:tcBorders>
            <w:shd w:val="clear" w:color="auto" w:fill="auto"/>
            <w:vAlign w:val="center"/>
          </w:tcPr>
          <w:p w14:paraId="43A2DFC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cs="Times New Roman"/>
                <w:i w:val="0"/>
                <w:iCs w:val="0"/>
                <w:color w:val="000000"/>
                <w:kern w:val="0"/>
                <w:sz w:val="21"/>
                <w:szCs w:val="21"/>
                <w:u w:val="none"/>
                <w:lang w:val="en-US" w:eastAsia="zh-CN" w:bidi="ar"/>
              </w:rPr>
              <w:t>9</w:t>
            </w:r>
          </w:p>
        </w:tc>
      </w:tr>
      <w:tr w14:paraId="7A4A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5322" w:type="dxa"/>
            <w:gridSpan w:val="3"/>
            <w:tcBorders>
              <w:top w:val="nil"/>
              <w:left w:val="single" w:color="000000" w:sz="8" w:space="0"/>
              <w:bottom w:val="single" w:color="000000" w:sz="8" w:space="0"/>
              <w:right w:val="single" w:color="000000" w:sz="8" w:space="0"/>
            </w:tcBorders>
            <w:shd w:val="clear" w:color="auto" w:fill="auto"/>
            <w:vAlign w:val="center"/>
          </w:tcPr>
          <w:p w14:paraId="15BA394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综合得分</w:t>
            </w:r>
          </w:p>
        </w:tc>
        <w:tc>
          <w:tcPr>
            <w:tcW w:w="3078" w:type="dxa"/>
            <w:tcBorders>
              <w:top w:val="nil"/>
              <w:left w:val="single" w:color="000000" w:sz="8" w:space="0"/>
              <w:bottom w:val="single" w:color="000000" w:sz="8" w:space="0"/>
              <w:right w:val="single" w:color="000000" w:sz="8" w:space="0"/>
            </w:tcBorders>
            <w:shd w:val="clear" w:color="auto" w:fill="auto"/>
            <w:vAlign w:val="center"/>
          </w:tcPr>
          <w:p w14:paraId="1E759341">
            <w:pPr>
              <w:keepNext w:val="0"/>
              <w:keepLines w:val="0"/>
              <w:pageBreakBefore w:val="0"/>
              <w:kinsoku/>
              <w:wordWrap/>
              <w:overflowPunct/>
              <w:topLinePunct w:val="0"/>
              <w:autoSpaceDE/>
              <w:autoSpaceDN/>
              <w:bidi w:val="0"/>
              <w:spacing w:line="560" w:lineRule="exact"/>
              <w:jc w:val="left"/>
              <w:rPr>
                <w:rFonts w:hint="default" w:ascii="Times New Roman" w:hAnsi="Times New Roman" w:eastAsia="宋体" w:cs="Times New Roman"/>
                <w:i w:val="0"/>
                <w:iCs w:val="0"/>
                <w:color w:val="000000"/>
                <w:sz w:val="21"/>
                <w:szCs w:val="21"/>
                <w:u w:val="none"/>
              </w:rPr>
            </w:pPr>
          </w:p>
        </w:tc>
        <w:tc>
          <w:tcPr>
            <w:tcW w:w="792" w:type="dxa"/>
            <w:tcBorders>
              <w:top w:val="nil"/>
              <w:left w:val="single" w:color="000000" w:sz="8" w:space="0"/>
              <w:bottom w:val="single" w:color="000000" w:sz="8" w:space="0"/>
              <w:right w:val="single" w:color="000000" w:sz="8" w:space="0"/>
            </w:tcBorders>
            <w:shd w:val="clear" w:color="auto" w:fill="auto"/>
            <w:vAlign w:val="center"/>
          </w:tcPr>
          <w:p w14:paraId="4848DFAC">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91.19</w:t>
            </w:r>
          </w:p>
        </w:tc>
      </w:tr>
    </w:tbl>
    <w:p w14:paraId="024C4DC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指标评分情况说明如下：</w:t>
      </w:r>
    </w:p>
    <w:p w14:paraId="3B071E74">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val="0"/>
        </w:rPr>
      </w:pPr>
      <w:bookmarkStart w:id="13" w:name="_Toc20886"/>
      <w:r>
        <w:rPr>
          <w:rFonts w:hint="eastAsia" w:ascii="楷体_GB2312" w:hAnsi="楷体_GB2312" w:eastAsia="楷体_GB2312" w:cs="楷体_GB2312"/>
          <w:b/>
          <w:bCs w:val="0"/>
        </w:rPr>
        <w:t>（一）决策（满分10分</w:t>
      </w:r>
      <w:r>
        <w:rPr>
          <w:rFonts w:hint="eastAsia" w:ascii="楷体_GB2312" w:hAnsi="楷体_GB2312" w:eastAsia="楷体_GB2312" w:cs="楷体_GB2312"/>
          <w:b/>
          <w:bCs w:val="0"/>
          <w:lang w:eastAsia="zh-CN"/>
        </w:rPr>
        <w:t>，</w:t>
      </w:r>
      <w:r>
        <w:rPr>
          <w:rFonts w:hint="eastAsia" w:ascii="楷体_GB2312" w:hAnsi="楷体_GB2312" w:eastAsia="楷体_GB2312" w:cs="楷体_GB2312"/>
          <w:b/>
          <w:bCs w:val="0"/>
        </w:rPr>
        <w:t>实得</w:t>
      </w:r>
      <w:r>
        <w:rPr>
          <w:rFonts w:hint="eastAsia" w:ascii="楷体_GB2312" w:hAnsi="楷体_GB2312" w:eastAsia="楷体_GB2312" w:cs="楷体_GB2312"/>
          <w:b/>
          <w:bCs w:val="0"/>
          <w:lang w:val="en-US" w:eastAsia="zh-CN"/>
        </w:rPr>
        <w:t>10</w:t>
      </w:r>
      <w:r>
        <w:rPr>
          <w:rFonts w:hint="eastAsia" w:ascii="楷体_GB2312" w:hAnsi="楷体_GB2312" w:eastAsia="楷体_GB2312" w:cs="楷体_GB2312"/>
          <w:b/>
          <w:bCs w:val="0"/>
        </w:rPr>
        <w:t>分）</w:t>
      </w:r>
      <w:bookmarkEnd w:id="13"/>
    </w:p>
    <w:p w14:paraId="4B1B380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预算编制（满分10分，实得</w:t>
      </w:r>
      <w:r>
        <w:rPr>
          <w:rFonts w:hint="eastAsia"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rPr>
        <w:t>分）</w:t>
      </w:r>
    </w:p>
    <w:p w14:paraId="1C1BC9B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（1）预算决策规范性（满分</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分，实得</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w:t>
      </w:r>
    </w:p>
    <w:p w14:paraId="7694E0D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预算决策规范性方面，休宁县教育局制定了《休宁县教育局预算管理制度》，确保部门内部预算决策的权责清晰且明确。休宁县教育局严格按照规定对项目进行了论证，于2024年2月完成了《休宁县教育局（本级）2024年单位预算》的编制工作，其项目支出预算已上报至上级财政部门进行确认。依据评分标准得3分。</w:t>
      </w:r>
    </w:p>
    <w:p w14:paraId="304FBDF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预算编制科学性（满分3分，实得</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w:t>
      </w:r>
    </w:p>
    <w:p w14:paraId="360B84C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预算编制科学性方面，休宁县教育局2024年全年预算9,067.52万元，其中基本支出680.16万元，项目支出8,387.36万元；2024年实际支出9,067.52万元，基本支出680.16万元，项目支出8,387.36万元。总预算偏离度0%＜10%。依据评分标准得3分。</w:t>
      </w:r>
      <w:r>
        <w:rPr>
          <w:rFonts w:hint="eastAsia"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（3）绩效目标合理性（满分2分，实得2分）</w:t>
      </w:r>
      <w:r>
        <w:rPr>
          <w:rFonts w:hint="default"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 绩效目标合理性方面，县教育局设定的整体支出绩效目标如下：加快项目建设，改善城乡办学条件，提升城乡办学能力；实施学前教育提升计划，强化看护点整治，完成“无证园”治理；全面完成乡村中小学“智慧学校”建设，提高教育信息化水平；支持新教育等民办学校发展；加强教育规范管理，提升教育教学质量，推进教学联盟活动，建立课堂教学评价量化体系；推动普通高中多样特色发展，做好高考课改工作，争取高考成绩优异。休宁县教育局的整体支出绩效目标既符合国民经济和社会发展规划、部门职能及事业发展规划，又契合客观实际，能够在计划期内完成。依据评分标准得2分。</w:t>
      </w:r>
    </w:p>
    <w:p w14:paraId="03E391B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（4）绩效指标明确性（满分2分，实得2分）</w:t>
      </w:r>
    </w:p>
    <w:p w14:paraId="7066642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绩效指标明确性方面，县教育局将整体支出绩效目标从数量、质量、时效、成本以及经济效益、社会效益、生态效益、可持续影响、满意度等方面细化成了绩效指标。部门整体支出绩效指标已完成量化，对于可量化的部分采用数值进行描述，如：“购买民办学校学位1423个”“服务对象满意度≥92%”等；不可量化的部分则进行定性描述且具备可衡量性。部门整体支出绩效指标与年度主要工作任务、年度总体目标基本匹配。依据评分标准得2分。</w:t>
      </w:r>
    </w:p>
    <w:p w14:paraId="2C8E2B30">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val="0"/>
        </w:rPr>
      </w:pPr>
      <w:bookmarkStart w:id="14" w:name="_Toc14781"/>
      <w:r>
        <w:rPr>
          <w:rFonts w:hint="eastAsia" w:ascii="楷体_GB2312" w:hAnsi="楷体_GB2312" w:eastAsia="楷体_GB2312" w:cs="楷体_GB2312"/>
          <w:b/>
          <w:bCs w:val="0"/>
        </w:rPr>
        <w:t>（二）过程（满分30分</w:t>
      </w:r>
      <w:r>
        <w:rPr>
          <w:rFonts w:hint="eastAsia" w:ascii="楷体_GB2312" w:hAnsi="楷体_GB2312" w:eastAsia="楷体_GB2312" w:cs="楷体_GB2312"/>
          <w:b/>
          <w:bCs w:val="0"/>
          <w:lang w:eastAsia="zh-CN"/>
        </w:rPr>
        <w:t>，</w:t>
      </w:r>
      <w:r>
        <w:rPr>
          <w:rFonts w:hint="eastAsia" w:ascii="楷体_GB2312" w:hAnsi="楷体_GB2312" w:eastAsia="楷体_GB2312" w:cs="楷体_GB2312"/>
          <w:b/>
          <w:bCs w:val="0"/>
        </w:rPr>
        <w:t>实得</w:t>
      </w:r>
      <w:r>
        <w:rPr>
          <w:rFonts w:hint="eastAsia" w:ascii="楷体_GB2312" w:hAnsi="楷体_GB2312" w:eastAsia="楷体_GB2312" w:cs="楷体_GB2312"/>
          <w:b/>
          <w:bCs w:val="0"/>
          <w:lang w:val="en-US" w:eastAsia="zh-CN"/>
        </w:rPr>
        <w:t>22.70</w:t>
      </w:r>
      <w:r>
        <w:rPr>
          <w:rFonts w:hint="eastAsia" w:ascii="楷体_GB2312" w:hAnsi="楷体_GB2312" w:eastAsia="楷体_GB2312" w:cs="楷体_GB2312"/>
          <w:b/>
          <w:bCs w:val="0"/>
        </w:rPr>
        <w:t>分）</w:t>
      </w:r>
      <w:bookmarkEnd w:id="14"/>
    </w:p>
    <w:p w14:paraId="307AF89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1.预算执行（满分1</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8.80</w:t>
      </w:r>
      <w:r>
        <w:rPr>
          <w:rFonts w:hint="default" w:ascii="Times New Roman" w:hAnsi="Times New Roman" w:eastAsia="仿宋_GB2312" w:cs="Times New Roman"/>
          <w:b/>
          <w:bCs/>
          <w:sz w:val="32"/>
          <w:szCs w:val="32"/>
        </w:rPr>
        <w:t>分）</w:t>
      </w:r>
    </w:p>
    <w:p w14:paraId="3CDFAA8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rPr>
        <w:t>（1）预算变动率（满分</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r>
        <w:rPr>
          <w:rFonts w:hint="default" w:ascii="Times New Roman" w:hAnsi="Times New Roman" w:eastAsia="仿宋_GB2312" w:cs="Times New Roman"/>
          <w:b w:val="0"/>
          <w:bCs w:val="0"/>
          <w:sz w:val="32"/>
          <w:szCs w:val="32"/>
          <w:highlight w:val="none"/>
        </w:rPr>
        <w:t>实得</w:t>
      </w:r>
      <w:r>
        <w:rPr>
          <w:rFonts w:hint="eastAsia" w:eastAsia="仿宋_GB2312" w:cs="Times New Roman"/>
          <w:b w:val="0"/>
          <w:bCs w:val="0"/>
          <w:sz w:val="32"/>
          <w:szCs w:val="32"/>
          <w:highlight w:val="none"/>
          <w:lang w:val="en-US" w:eastAsia="zh-CN"/>
        </w:rPr>
        <w:t>0</w:t>
      </w:r>
      <w:r>
        <w:rPr>
          <w:rFonts w:hint="default" w:ascii="Times New Roman" w:hAnsi="Times New Roman" w:eastAsia="仿宋_GB2312" w:cs="Times New Roman"/>
          <w:b w:val="0"/>
          <w:bCs w:val="0"/>
          <w:sz w:val="32"/>
          <w:szCs w:val="32"/>
          <w:highlight w:val="none"/>
        </w:rPr>
        <w:t>分）</w:t>
      </w:r>
    </w:p>
    <w:p w14:paraId="59C0135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县教育局（本级）2024年年初预算5,985.11万元，全年预算9,067.52万元，预算增加3,082.41万元，预算变动率51.50%＞10%。依据评分标准得0分。</w:t>
      </w:r>
    </w:p>
    <w:p w14:paraId="0D47003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预算完成率（满分2分，实得</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.8分）</w:t>
      </w:r>
      <w:r>
        <w:rPr>
          <w:rFonts w:hint="default"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县教育局（本级）2024年全年预算9,067.52万元，2024年实际支出9,067.52万元，预算执行率100%。但个别项目预算执行率较低：提前下达2023年支持学前教育发展资金全年预算124.75万元，2024年实际支出50.30万元，项目预算执行率为40.32%。依据评分标准得1.8分。</w:t>
      </w:r>
      <w:r>
        <w:rPr>
          <w:rFonts w:hint="default" w:ascii="Times New Roman" w:hAnsi="Times New Roman" w:eastAsia="仿宋_GB2312" w:cs="Times New Roman"/>
          <w:b w:val="0"/>
          <w:bCs w:val="0"/>
          <w:sz w:val="32"/>
          <w:szCs w:val="32"/>
          <w:lang w:val="en-US" w:eastAsia="zh-CN"/>
        </w:rPr>
        <w:t xml:space="preserve"> </w:t>
      </w:r>
    </w:p>
    <w:p w14:paraId="3C47509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支付进度率（</w:t>
      </w:r>
      <w:r>
        <w:rPr>
          <w:rFonts w:hint="default" w:ascii="Times New Roman" w:hAnsi="Times New Roman" w:eastAsia="仿宋_GB2312" w:cs="Times New Roman"/>
          <w:b w:val="0"/>
          <w:bCs w:val="0"/>
          <w:sz w:val="32"/>
          <w:szCs w:val="32"/>
        </w:rPr>
        <w:t>满分2分，实得</w:t>
      </w:r>
      <w:r>
        <w:rPr>
          <w:rFonts w:hint="eastAsia" w:ascii="Times New Roman" w:hAnsi="Times New Roman" w:eastAsia="仿宋_GB2312" w:cs="Times New Roman"/>
          <w:b w:val="0"/>
          <w:bCs w:val="0"/>
          <w:sz w:val="32"/>
          <w:szCs w:val="32"/>
          <w:lang w:val="en-US" w:eastAsia="zh-CN"/>
        </w:rPr>
        <w:t>1.</w:t>
      </w:r>
      <w:r>
        <w:rPr>
          <w:rFonts w:hint="eastAsia"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49900A4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left"/>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highlight w:val="none"/>
        </w:rPr>
        <w:t>县教育局（本级）2024年全年实际支出9,067.52万元，截至3月份支出执行总数为983.14万元，截至6月份支出预算执行总数3,520.63万元，截至9月份支出预算执行总数6,533.08万元，截至12月份支出预算执行总数9,067.52万元。支付进度率=[983.14（9067.52*0.25</w:t>
      </w:r>
      <w:r>
        <w:rPr>
          <w:rFonts w:hint="default" w:ascii="Times New Roman" w:hAnsi="Times New Roman" w:eastAsia="仿宋_GB2312" w:cs="Times New Roman"/>
          <w:b w:val="0"/>
          <w:bCs w:val="0"/>
          <w:sz w:val="32"/>
          <w:szCs w:val="32"/>
          <w:lang w:val="en-US" w:eastAsia="zh-CN"/>
        </w:rPr>
        <w:t xml:space="preserve">*0.2+3520.63/(9067.52*0.5)*0.2+6533.08/(9067.52*0.75)*0.3+9067.52/(9067.52*1)*0.3]*100%=83.02%。依据评分标准得1.2分。  </w:t>
      </w:r>
      <w:r>
        <w:rPr>
          <w:rFonts w:hint="default"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结转结余率（满分2分，实得</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17329BA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县教育局（本级）2024年全年预算9,067.52万元，2024年实际支出9,067.52万元，2024年度结转结余0万元。结转结余率=结转结余总额/调整预算数×100%=0/9067.52*100%=0%＜5%。依据评分标准得2分。</w:t>
      </w:r>
    </w:p>
    <w:p w14:paraId="3E84C59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）一般性支出压减率（满分2分，实得</w:t>
      </w:r>
      <w:r>
        <w:rPr>
          <w:rFonts w:hint="eastAsia"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rPr>
        <w:t>分）</w:t>
      </w:r>
    </w:p>
    <w:p w14:paraId="25DACBA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县教育局（本级）在一般性支出方面，《2023年一般公共预算财政拨款基本支出决算明细表》显示2023年度基本支出中商品和服务支出决算数为25.49万元，《2024年一般公共预算财政拨款基本支出决算明细表》中2024年度基本支出中商品和服务支出决算数为35.45万元，出现一般性支出不减反增的情况。依据评分标准，此项不得分。</w:t>
      </w:r>
      <w:r>
        <w:rPr>
          <w:rFonts w:hint="default" w:ascii="Times New Roman" w:hAnsi="Times New Roman" w:eastAsia="仿宋_GB2312" w:cs="Times New Roman"/>
          <w:b w:val="0"/>
          <w:bCs w:val="0"/>
          <w:sz w:val="32"/>
          <w:szCs w:val="32"/>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“三公”经费</w:t>
      </w:r>
      <w:r>
        <w:rPr>
          <w:rFonts w:hint="default" w:ascii="Times New Roman" w:hAnsi="Times New Roman" w:eastAsia="仿宋_GB2312" w:cs="Times New Roman"/>
          <w:b w:val="0"/>
          <w:bCs w:val="0"/>
          <w:sz w:val="32"/>
          <w:szCs w:val="32"/>
        </w:rPr>
        <w:t>控制率（满分2分，实得</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05E97C7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县教育局（本级）2024年“三公”经费年初预算数为20万元，2024年“三公”经费实际支出为4.29万元，“三公”经费控制率=4.29/20*100%=21.45%＜100%。依据评分标准，此项可得2分。</w:t>
      </w:r>
      <w:r>
        <w:rPr>
          <w:rFonts w:hint="default" w:ascii="Times New Roman" w:hAnsi="Times New Roman" w:eastAsia="仿宋_GB2312" w:cs="Times New Roman"/>
          <w:b w:val="0"/>
          <w:bCs w:val="0"/>
          <w:sz w:val="32"/>
          <w:szCs w:val="32"/>
          <w:lang w:eastAsia="zh-CN"/>
        </w:rPr>
        <w:br w:type="textWrapping"/>
      </w:r>
      <w:r>
        <w:rPr>
          <w:rFonts w:hint="default" w:ascii="Times New Roman" w:hAnsi="Times New Roman" w:eastAsia="仿宋_GB2312" w:cs="Times New Roman"/>
          <w:b w:val="0"/>
          <w:bCs w:val="0"/>
          <w:sz w:val="32"/>
          <w:szCs w:val="32"/>
          <w:lang w:val="en-US" w:eastAsia="zh-CN"/>
        </w:rPr>
        <w:t xml:space="preserve">   （7）政府采购执行率</w:t>
      </w:r>
      <w:r>
        <w:rPr>
          <w:rFonts w:hint="default" w:ascii="Times New Roman" w:hAnsi="Times New Roman" w:eastAsia="仿宋_GB2312" w:cs="Times New Roman"/>
          <w:b w:val="0"/>
          <w:bCs w:val="0"/>
          <w:sz w:val="32"/>
          <w:szCs w:val="32"/>
        </w:rPr>
        <w:t>（满分2分，实得</w:t>
      </w:r>
      <w:r>
        <w:rPr>
          <w:rFonts w:hint="eastAsia" w:eastAsia="仿宋_GB2312" w:cs="Times New Roman"/>
          <w:b w:val="0"/>
          <w:bCs w:val="0"/>
          <w:sz w:val="32"/>
          <w:szCs w:val="32"/>
          <w:lang w:val="en-US" w:eastAsia="zh-CN"/>
        </w:rPr>
        <w:t>1.80</w:t>
      </w:r>
      <w:r>
        <w:rPr>
          <w:rFonts w:hint="default" w:ascii="Times New Roman" w:hAnsi="Times New Roman" w:eastAsia="仿宋_GB2312" w:cs="Times New Roman"/>
          <w:b w:val="0"/>
          <w:bCs w:val="0"/>
          <w:sz w:val="32"/>
          <w:szCs w:val="32"/>
        </w:rPr>
        <w:t>分）</w:t>
      </w:r>
    </w:p>
    <w:p w14:paraId="159059D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根据《2024年决算报表休宁县教育局</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本级</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》得知，休宁县教育局2024年实际政府采购支出965.55万元，但预算公开中《休宁县教育局2024年政府采购支出表》未编制预算。依据评分标准得1</w:t>
      </w:r>
      <w:r>
        <w:rPr>
          <w:rFonts w:hint="eastAsia" w:eastAsia="仿宋_GB2312" w:cs="Times New Roman"/>
          <w:b w:val="0"/>
          <w:bCs w:val="0"/>
          <w:sz w:val="32"/>
          <w:szCs w:val="32"/>
          <w:lang w:val="en-US" w:eastAsia="zh-CN"/>
        </w:rPr>
        <w:t>.80</w:t>
      </w:r>
      <w:r>
        <w:rPr>
          <w:rFonts w:hint="default" w:ascii="Times New Roman" w:hAnsi="Times New Roman" w:eastAsia="仿宋_GB2312" w:cs="Times New Roman"/>
          <w:b w:val="0"/>
          <w:bCs w:val="0"/>
          <w:sz w:val="32"/>
          <w:szCs w:val="32"/>
          <w:lang w:val="en-US" w:eastAsia="zh-CN"/>
        </w:rPr>
        <w:t>分。</w:t>
      </w:r>
    </w:p>
    <w:p w14:paraId="1F10933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2.预算管理（满分</w:t>
      </w: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8.80</w:t>
      </w:r>
      <w:r>
        <w:rPr>
          <w:rFonts w:hint="default" w:ascii="Times New Roman" w:hAnsi="Times New Roman" w:eastAsia="仿宋_GB2312" w:cs="Times New Roman"/>
          <w:b/>
          <w:bCs/>
          <w:sz w:val="32"/>
          <w:szCs w:val="32"/>
        </w:rPr>
        <w:t>分）</w:t>
      </w:r>
    </w:p>
    <w:p w14:paraId="6C1AA8D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val="en-US" w:eastAsia="zh-CN"/>
        </w:rPr>
        <w:t>合同管理</w:t>
      </w:r>
      <w:r>
        <w:rPr>
          <w:rFonts w:hint="default" w:ascii="Times New Roman" w:hAnsi="Times New Roman" w:eastAsia="仿宋_GB2312" w:cs="Times New Roman"/>
          <w:b w:val="0"/>
          <w:bCs w:val="0"/>
          <w:sz w:val="32"/>
          <w:szCs w:val="32"/>
        </w:rPr>
        <w:t>（满分</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分，实得</w:t>
      </w:r>
      <w:r>
        <w:rPr>
          <w:rFonts w:hint="eastAsia" w:ascii="Times New Roman" w:hAnsi="Times New Roman" w:eastAsia="仿宋_GB2312" w:cs="Times New Roman"/>
          <w:b w:val="0"/>
          <w:bCs w:val="0"/>
          <w:sz w:val="32"/>
          <w:szCs w:val="32"/>
          <w:lang w:val="en-US" w:eastAsia="zh-CN"/>
        </w:rPr>
        <w:t>1.</w:t>
      </w:r>
      <w:r>
        <w:rPr>
          <w:rFonts w:hint="eastAsia"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分）</w:t>
      </w:r>
    </w:p>
    <w:p w14:paraId="681E5C0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合同签订规范，相关主体责任明确。但存在质保金未按规定扣留。2024年4月全额支付海阳中学储物房维修改造项目尾款5.61万元，未扣留3%质保金0.17万元（该项目2023年11月验收合格）。依据评分标准得1.80分。</w:t>
      </w:r>
      <w:r>
        <w:rPr>
          <w:rFonts w:hint="default" w:ascii="Times New Roman" w:hAnsi="Times New Roman" w:eastAsia="仿宋_GB2312" w:cs="Times New Roman"/>
          <w:b w:val="0"/>
          <w:bCs w:val="0"/>
          <w:sz w:val="32"/>
          <w:szCs w:val="32"/>
        </w:rPr>
        <w:br w:type="textWrapping"/>
      </w:r>
      <w:r>
        <w:rPr>
          <w:rFonts w:hint="eastAsia" w:ascii="Times New Roman" w:hAnsi="Times New Roman" w:eastAsia="仿宋_GB2312" w:cs="Times New Roman"/>
          <w:b w:val="0"/>
          <w:bCs w:val="0"/>
          <w:sz w:val="32"/>
          <w:szCs w:val="32"/>
          <w:lang w:val="en-US" w:eastAsia="zh-CN"/>
        </w:rPr>
        <w:t xml:space="preserve">   （2）</w:t>
      </w:r>
      <w:r>
        <w:rPr>
          <w:rFonts w:hint="default" w:ascii="Times New Roman" w:hAnsi="Times New Roman" w:eastAsia="仿宋_GB2312" w:cs="Times New Roman"/>
          <w:b w:val="0"/>
          <w:bCs w:val="0"/>
          <w:sz w:val="32"/>
          <w:szCs w:val="32"/>
        </w:rPr>
        <w:t>管理制度健全性（满分</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分，实得</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262A1A5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 xml:space="preserve">县教育局制定或具有了包括《休宁县教育局教育经费核算中心经费支出内控稽核管理制度》《休宁县教育局财务支出管理办法》《休宁县教育系统政府采购管理办法》《休宁县中小学国有资产处置管理暂行办法》《休宁县教育局建设工程管理办法》等在内的相关制度，这些管理制度涉及财务管理、采购管理、资产管理和项目管理等多个重要方面。并且这些制度合法、合规且完整。休宁县教育局还建立健全并落实了内部控制制度体系。依据评分标准得2分。  </w:t>
      </w:r>
      <w:r>
        <w:rPr>
          <w:rFonts w:hint="default"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）管理制度执行情况（满分</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分，实得</w:t>
      </w:r>
      <w:r>
        <w:rPr>
          <w:rFonts w:hint="eastAsia" w:eastAsia="仿宋_GB2312" w:cs="Times New Roman"/>
          <w:b w:val="0"/>
          <w:bCs w:val="0"/>
          <w:sz w:val="32"/>
          <w:szCs w:val="32"/>
          <w:lang w:val="en-US" w:eastAsia="zh-CN"/>
        </w:rPr>
        <w:t>1.6</w:t>
      </w:r>
      <w:r>
        <w:rPr>
          <w:rFonts w:hint="default" w:ascii="Times New Roman" w:hAnsi="Times New Roman" w:eastAsia="仿宋_GB2312" w:cs="Times New Roman"/>
          <w:b w:val="0"/>
          <w:bCs w:val="0"/>
          <w:sz w:val="32"/>
          <w:szCs w:val="32"/>
        </w:rPr>
        <w:t>分）</w:t>
      </w:r>
    </w:p>
    <w:p w14:paraId="57E9E47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部分管理制度未能有效执行。工程项目变更管理不规范。海阳二中新建餐厅装饰装修及挡墙工程项目合同金额43.12万元，实际结算48.04万元，超合同价11.41%（4.92万元），违反《中华人民共和国政府采购法》第四十九条关于“政府采购合同履行中追加合同金额不得超过原合同金额10%”的规定，且未按规定重新签订补充合同。公务用车审批流程倒置。2024年6月23日使用公务用车赴渭桥开展防汛工作，相关车辆使用审批单的单位负责人签字时间为2024年6月27日，存在“先用车后审批”的违规情形。上述问题反映出项目管理和内部管控存在疏漏，依据评分标准得1.6分。</w:t>
      </w:r>
      <w:r>
        <w:rPr>
          <w:rFonts w:hint="default" w:ascii="Times New Roman" w:hAnsi="Times New Roman" w:eastAsia="仿宋_GB2312" w:cs="Times New Roman"/>
          <w:b w:val="0"/>
          <w:bCs w:val="0"/>
          <w:sz w:val="32"/>
          <w:szCs w:val="32"/>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资金使用合规性（满分</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分，实得</w:t>
      </w:r>
      <w:r>
        <w:rPr>
          <w:rFonts w:hint="eastAsia" w:ascii="Times New Roman" w:hAnsi="Times New Roman" w:eastAsia="仿宋_GB2312" w:cs="Times New Roman"/>
          <w:b w:val="0"/>
          <w:bCs w:val="0"/>
          <w:sz w:val="32"/>
          <w:szCs w:val="32"/>
          <w:lang w:val="en-US" w:eastAsia="zh-CN"/>
        </w:rPr>
        <w:t>1.</w:t>
      </w:r>
      <w:r>
        <w:rPr>
          <w:rFonts w:hint="eastAsia"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分）</w:t>
      </w:r>
      <w:r>
        <w:rPr>
          <w:rFonts w:hint="default" w:ascii="Times New Roman" w:hAnsi="Times New Roman" w:eastAsia="仿宋_GB2312" w:cs="Times New Roman"/>
          <w:b w:val="0"/>
          <w:bCs w:val="0"/>
          <w:sz w:val="32"/>
          <w:szCs w:val="32"/>
        </w:rPr>
        <w:br w:type="textWrapping"/>
      </w:r>
      <w:r>
        <w:rPr>
          <w:rFonts w:hint="default" w:ascii="Times New Roman" w:hAnsi="Times New Roman" w:eastAsia="仿宋_GB2312" w:cs="Times New Roman"/>
          <w:b w:val="0"/>
          <w:bCs w:val="0"/>
          <w:sz w:val="32"/>
          <w:szCs w:val="32"/>
          <w:lang w:val="en-US" w:eastAsia="zh-CN"/>
        </w:rPr>
        <w:t xml:space="preserve">    资金使用不规范。2024年11月用“奖教奖学经费开支”项目资金支付休宁县教育局2024年职工体检费8.90万元；2024年12月17日用“农村原民办老教师教龄补助”资金支付教育局党报党刊征订1.55万元；2024年12月17日用“2023年教育督导评价奖励补助资金”支付教育局党报党刊征订0.08万元。违反了专项资金“专款专用”的管理原则。依据评分标准得1.4分。</w:t>
      </w:r>
    </w:p>
    <w:p w14:paraId="1916601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eastAsia="zh-CN"/>
        </w:rPr>
        <w:t>）预决算信息公开性</w:t>
      </w:r>
      <w:r>
        <w:rPr>
          <w:rFonts w:hint="default" w:ascii="Times New Roman" w:hAnsi="Times New Roman" w:eastAsia="仿宋_GB2312" w:cs="Times New Roman"/>
          <w:b w:val="0"/>
          <w:bCs w:val="0"/>
          <w:sz w:val="32"/>
          <w:szCs w:val="32"/>
        </w:rPr>
        <w:t>（满分</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分，实得</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分）</w:t>
      </w:r>
    </w:p>
    <w:p w14:paraId="4284718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预算信息公开性方面，休宁县教育局在2024年度做到了预算信息及时公开。该部门于2024年2月19日在黄山市休宁县人民政府网公开了2024年部门预算，其公开内容完整且细化，公开时间符合规定要求，公开方式也较为规范。依据相关评分标准，此项得2分。</w:t>
      </w:r>
      <w:r>
        <w:rPr>
          <w:rFonts w:hint="default" w:ascii="Times New Roman" w:hAnsi="Times New Roman" w:eastAsia="仿宋_GB2312" w:cs="Times New Roman"/>
          <w:b w:val="0"/>
          <w:bCs w:val="0"/>
          <w:sz w:val="32"/>
          <w:szCs w:val="32"/>
          <w:lang w:val="en-US"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eastAsia"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财务</w:t>
      </w:r>
      <w:r>
        <w:rPr>
          <w:rFonts w:hint="default" w:ascii="Times New Roman" w:hAnsi="Times New Roman" w:eastAsia="仿宋_GB2312" w:cs="Times New Roman"/>
          <w:b/>
          <w:bCs/>
          <w:sz w:val="32"/>
          <w:szCs w:val="32"/>
          <w:lang w:eastAsia="zh-CN"/>
        </w:rPr>
        <w:t>管理</w:t>
      </w:r>
      <w:r>
        <w:rPr>
          <w:rFonts w:hint="default" w:ascii="Times New Roman" w:hAnsi="Times New Roman" w:eastAsia="仿宋_GB2312" w:cs="Times New Roman"/>
          <w:b/>
          <w:bCs/>
          <w:sz w:val="32"/>
          <w:szCs w:val="32"/>
        </w:rPr>
        <w:t>（满分</w:t>
      </w: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5.1</w:t>
      </w:r>
      <w:r>
        <w:rPr>
          <w:rFonts w:hint="default" w:ascii="Times New Roman" w:hAnsi="Times New Roman" w:eastAsia="仿宋_GB2312" w:cs="Times New Roman"/>
          <w:b/>
          <w:bCs/>
          <w:sz w:val="32"/>
          <w:szCs w:val="32"/>
        </w:rPr>
        <w:t>分）</w:t>
      </w:r>
    </w:p>
    <w:p w14:paraId="0093D2F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）财务信息完善性</w:t>
      </w:r>
      <w:r>
        <w:rPr>
          <w:rFonts w:hint="default" w:ascii="Times New Roman" w:hAnsi="Times New Roman" w:eastAsia="仿宋_GB2312" w:cs="Times New Roman"/>
          <w:b w:val="0"/>
          <w:bCs w:val="0"/>
          <w:sz w:val="32"/>
          <w:szCs w:val="32"/>
        </w:rPr>
        <w:t>（满分</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分，实得</w:t>
      </w:r>
      <w:r>
        <w:rPr>
          <w:rFonts w:hint="eastAsia" w:eastAsia="仿宋_GB2312" w:cs="Times New Roman"/>
          <w:b w:val="0"/>
          <w:bCs w:val="0"/>
          <w:sz w:val="32"/>
          <w:szCs w:val="32"/>
          <w:lang w:val="en-US" w:eastAsia="zh-CN"/>
        </w:rPr>
        <w:t>2.6</w:t>
      </w:r>
      <w:r>
        <w:rPr>
          <w:rFonts w:hint="default" w:ascii="Times New Roman" w:hAnsi="Times New Roman" w:eastAsia="仿宋_GB2312" w:cs="Times New Roman"/>
          <w:b w:val="0"/>
          <w:bCs w:val="0"/>
          <w:sz w:val="32"/>
          <w:szCs w:val="32"/>
        </w:rPr>
        <w:t>分）</w:t>
      </w:r>
    </w:p>
    <w:p w14:paraId="5B1D33C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 xml:space="preserve">财务信息完善性方面，存在费用跨期列支。2024年1月支付免费簿本费21.40万元；2024年1月支付局机关2022—2023年会议室绿植租金0.62万元；2024年2月支付教育局2023年11月份公务用车费1.13万元；2024年2月支付2023年秋季免费读本费25.84万元。上述支出均计入“业务活动费”科目，与会计核算期间不匹配，违反权责发生制原则，影响会计信息准确性。会计科目核算不规范。单位支付退休人员的相关费用列入“业务活动费”科目核算，未启用“管理费用”科目；2024年9月预付休宁县海阳第四小学建设项目资金（第一次拨付）1000万元，计入“业务活动费”科目，应计入“预付账款”科目。依据评分标准得2.60分。  </w:t>
      </w:r>
      <w:r>
        <w:rPr>
          <w:rFonts w:hint="default" w:ascii="Times New Roman" w:hAnsi="Times New Roman" w:eastAsia="仿宋_GB2312" w:cs="Times New Roman"/>
          <w:b w:val="0"/>
          <w:bCs w:val="0"/>
          <w:sz w:val="32"/>
          <w:szCs w:val="32"/>
          <w:lang w:val="en-US"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资产管理安全性</w:t>
      </w:r>
      <w:r>
        <w:rPr>
          <w:rFonts w:hint="default" w:ascii="Times New Roman" w:hAnsi="Times New Roman" w:eastAsia="仿宋_GB2312" w:cs="Times New Roman"/>
          <w:b w:val="0"/>
          <w:bCs w:val="0"/>
          <w:sz w:val="32"/>
          <w:szCs w:val="32"/>
        </w:rPr>
        <w:t>（满分</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分，实得</w:t>
      </w:r>
      <w:r>
        <w:rPr>
          <w:rFonts w:hint="eastAsia" w:ascii="Times New Roman" w:hAnsi="Times New Roman" w:eastAsia="仿宋_GB2312" w:cs="Times New Roman"/>
          <w:b w:val="0"/>
          <w:bCs w:val="0"/>
          <w:sz w:val="32"/>
          <w:szCs w:val="32"/>
          <w:lang w:val="en-US" w:eastAsia="zh-CN"/>
        </w:rPr>
        <w:t>2.5</w:t>
      </w:r>
      <w:r>
        <w:rPr>
          <w:rFonts w:hint="default" w:ascii="Times New Roman" w:hAnsi="Times New Roman" w:eastAsia="仿宋_GB2312" w:cs="Times New Roman"/>
          <w:b w:val="0"/>
          <w:bCs w:val="0"/>
          <w:sz w:val="32"/>
          <w:szCs w:val="32"/>
        </w:rPr>
        <w:t>分）</w:t>
      </w:r>
    </w:p>
    <w:p w14:paraId="145B1AA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部门资产总账与明细账核对相符，2025年7月3日，依据《休宁县教育局资产存量清单明细》，对18项固定资产进行了监盘，结果显示账实相符。但存在资产账务处理不规范。2024年4月付海阳四小建设项目土地划拨费用1164.23万元；2024年6月付2022年黄山市中小学智慧学校建设采购项目款184.62万元，用于购买黄山讯飞科技有限公司智慧课堂互动终端设备、个性化学习作业系统V1.0等；2024年9月付购入一小二小空调28台采购项目款24.64万元，系采购空调28台；2024年12月付台式整机框架采购项目款57.05万元，新购联想台式电脑165台；均计入“业务活动费”未计入“固定资产”或“无形资产”科目。导致部门实际拥有的资产在账面上被低估。依据评分标准得2.5分。</w:t>
      </w:r>
    </w:p>
    <w:p w14:paraId="3FA437C7">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rPr>
      </w:pPr>
      <w:bookmarkStart w:id="15" w:name="_Toc5992"/>
      <w:r>
        <w:rPr>
          <w:rFonts w:hint="eastAsia" w:ascii="楷体_GB2312" w:hAnsi="楷体_GB2312" w:eastAsia="楷体_GB2312" w:cs="楷体_GB2312"/>
        </w:rPr>
        <w:t>（三</w:t>
      </w:r>
      <w:r>
        <w:rPr>
          <w:rFonts w:hint="eastAsia" w:ascii="楷体_GB2312" w:hAnsi="楷体_GB2312" w:eastAsia="楷体_GB2312" w:cs="楷体_GB2312"/>
          <w:b/>
          <w:bCs w:val="0"/>
        </w:rPr>
        <w:t>）产出（</w:t>
      </w:r>
      <w:r>
        <w:rPr>
          <w:rFonts w:hint="eastAsia" w:ascii="楷体_GB2312" w:hAnsi="楷体_GB2312" w:eastAsia="楷体_GB2312" w:cs="楷体_GB2312"/>
        </w:rPr>
        <w:t>满分30分，实得</w:t>
      </w:r>
      <w:r>
        <w:rPr>
          <w:rFonts w:hint="eastAsia" w:ascii="楷体_GB2312" w:hAnsi="楷体_GB2312" w:eastAsia="楷体_GB2312" w:cs="楷体_GB2312"/>
          <w:lang w:val="en-US" w:eastAsia="zh-CN"/>
        </w:rPr>
        <w:t>29.49</w:t>
      </w:r>
      <w:r>
        <w:rPr>
          <w:rFonts w:hint="eastAsia" w:ascii="楷体_GB2312" w:hAnsi="楷体_GB2312" w:eastAsia="楷体_GB2312" w:cs="楷体_GB2312"/>
        </w:rPr>
        <w:t>分）</w:t>
      </w:r>
      <w:bookmarkEnd w:id="15"/>
    </w:p>
    <w:p w14:paraId="6DC41EC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1.产出数量（满分</w:t>
      </w:r>
      <w:r>
        <w:rPr>
          <w:rFonts w:hint="eastAsia" w:eastAsia="仿宋_GB2312" w:cs="Times New Roman"/>
          <w:b/>
          <w:bCs/>
          <w:sz w:val="32"/>
          <w:szCs w:val="32"/>
          <w:lang w:val="en-US" w:eastAsia="zh-CN"/>
        </w:rPr>
        <w:t>12</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11.49</w:t>
      </w:r>
      <w:r>
        <w:rPr>
          <w:rFonts w:hint="default" w:ascii="Times New Roman" w:hAnsi="Times New Roman" w:eastAsia="仿宋_GB2312" w:cs="Times New Roman"/>
          <w:b/>
          <w:bCs/>
          <w:sz w:val="32"/>
          <w:szCs w:val="32"/>
        </w:rPr>
        <w:t>分）</w:t>
      </w:r>
    </w:p>
    <w:p w14:paraId="0B5B845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实施项目数量（满分</w:t>
      </w:r>
      <w:r>
        <w:rPr>
          <w:rFonts w:hint="eastAsia"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分，实得</w:t>
      </w:r>
      <w:r>
        <w:rPr>
          <w:rFonts w:hint="eastAsia" w:eastAsia="仿宋_GB2312" w:cs="Times New Roman"/>
          <w:b w:val="0"/>
          <w:bCs w:val="0"/>
          <w:sz w:val="32"/>
          <w:szCs w:val="32"/>
          <w:lang w:val="en-US" w:eastAsia="zh-CN"/>
        </w:rPr>
        <w:t>2.49</w:t>
      </w:r>
      <w:r>
        <w:rPr>
          <w:rFonts w:hint="default" w:ascii="Times New Roman" w:hAnsi="Times New Roman" w:eastAsia="仿宋_GB2312" w:cs="Times New Roman"/>
          <w:b w:val="0"/>
          <w:bCs w:val="0"/>
          <w:sz w:val="32"/>
          <w:szCs w:val="32"/>
          <w:lang w:eastAsia="zh-CN"/>
        </w:rPr>
        <w:t>分）</w:t>
      </w:r>
    </w:p>
    <w:p w14:paraId="7112A9A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highlight w:val="none"/>
          <w:lang w:eastAsia="zh-CN"/>
        </w:rPr>
      </w:pPr>
      <w:r>
        <w:rPr>
          <w:rFonts w:hint="eastAsia" w:ascii="Times New Roman" w:hAnsi="Times New Roman" w:eastAsia="仿宋_GB2312" w:cs="Times New Roman"/>
          <w:b w:val="0"/>
          <w:bCs w:val="0"/>
          <w:sz w:val="32"/>
          <w:szCs w:val="32"/>
          <w:lang w:val="en-US" w:eastAsia="zh-CN"/>
        </w:rPr>
        <w:t>县教育局（本级）2024年计划实施项目53个，实际全年实施完成44个项目，实施项目完成率83.02%，依据评分标准得2.49分</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（2）延时服务幼儿数</w:t>
      </w:r>
      <w:r>
        <w:rPr>
          <w:rFonts w:hint="default" w:ascii="Times New Roman" w:hAnsi="Times New Roman" w:eastAsia="仿宋_GB2312" w:cs="Times New Roman"/>
          <w:b w:val="0"/>
          <w:bCs w:val="0"/>
          <w:sz w:val="32"/>
          <w:szCs w:val="32"/>
          <w:lang w:eastAsia="zh-CN"/>
        </w:rPr>
        <w:t>（满分</w:t>
      </w:r>
      <w:r>
        <w:rPr>
          <w:rFonts w:hint="eastAsia"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分，实得</w:t>
      </w:r>
      <w:r>
        <w:rPr>
          <w:rFonts w:hint="eastAsia"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分）</w:t>
      </w:r>
      <w:r>
        <w:rPr>
          <w:rFonts w:hint="default" w:ascii="Times New Roman" w:hAnsi="Times New Roman" w:eastAsia="仿宋_GB2312" w:cs="Times New Roman"/>
          <w:b w:val="0"/>
          <w:bCs w:val="0"/>
          <w:sz w:val="32"/>
          <w:szCs w:val="32"/>
          <w:lang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县教育局（本级）2024年计划延时服务幼儿数为2500人，实际2024年延时服务幼儿数为2752人。任务目标完成率110.08%，依据评分标准得3分。</w:t>
      </w:r>
      <w:r>
        <w:rPr>
          <w:rFonts w:hint="default" w:ascii="Times New Roman" w:hAnsi="Times New Roman" w:eastAsia="仿宋_GB2312" w:cs="Times New Roman"/>
          <w:b w:val="0"/>
          <w:bCs w:val="0"/>
          <w:sz w:val="32"/>
          <w:szCs w:val="32"/>
          <w:lang w:val="en-US"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w:t>
      </w:r>
      <w:r>
        <w:rPr>
          <w:rFonts w:hint="eastAsia"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）购买民办学校学位</w:t>
      </w:r>
      <w:r>
        <w:rPr>
          <w:rFonts w:hint="default" w:ascii="Times New Roman" w:hAnsi="Times New Roman" w:eastAsia="仿宋_GB2312" w:cs="Times New Roman"/>
          <w:b w:val="0"/>
          <w:bCs w:val="0"/>
          <w:sz w:val="32"/>
          <w:szCs w:val="32"/>
          <w:lang w:eastAsia="zh-CN"/>
        </w:rPr>
        <w:t>（满分</w:t>
      </w:r>
      <w:r>
        <w:rPr>
          <w:rFonts w:hint="eastAsia"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分，实得</w:t>
      </w:r>
      <w:r>
        <w:rPr>
          <w:rFonts w:hint="eastAsia"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分）</w:t>
      </w:r>
      <w:r>
        <w:rPr>
          <w:rFonts w:hint="default" w:ascii="Times New Roman" w:hAnsi="Times New Roman" w:eastAsia="仿宋_GB2312" w:cs="Times New Roman"/>
          <w:b w:val="0"/>
          <w:bCs w:val="0"/>
          <w:sz w:val="32"/>
          <w:szCs w:val="32"/>
          <w:lang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县教育局（本级）2024年计划购买民办学校学位1423个，实际根据《2024年秋季学期购买民办学校学位资金拨付表》得知2024年共购买民办学校学位1423个（小学生610人、中学生813人），任务目标完成率100%，依据评分标准得3分。</w:t>
      </w:r>
      <w:r>
        <w:rPr>
          <w:rFonts w:hint="default" w:ascii="Times New Roman" w:hAnsi="Times New Roman" w:eastAsia="仿宋_GB2312" w:cs="Times New Roman"/>
          <w:b w:val="0"/>
          <w:bCs w:val="0"/>
          <w:sz w:val="32"/>
          <w:szCs w:val="32"/>
          <w:lang w:val="en-US"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w:t>
      </w:r>
      <w:r>
        <w:rPr>
          <w:rFonts w:hint="eastAsia"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人员数量</w:t>
      </w:r>
      <w:r>
        <w:rPr>
          <w:rFonts w:hint="default" w:ascii="Times New Roman" w:hAnsi="Times New Roman" w:eastAsia="仿宋_GB2312" w:cs="Times New Roman"/>
          <w:b w:val="0"/>
          <w:bCs w:val="0"/>
          <w:sz w:val="32"/>
          <w:szCs w:val="32"/>
          <w:highlight w:val="none"/>
          <w:lang w:eastAsia="zh-CN"/>
        </w:rPr>
        <w:t>控制（满分</w:t>
      </w:r>
      <w:r>
        <w:rPr>
          <w:rFonts w:hint="eastAsia"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lang w:eastAsia="zh-CN"/>
        </w:rPr>
        <w:t>分，实得</w:t>
      </w:r>
      <w:r>
        <w:rPr>
          <w:rFonts w:hint="eastAsia"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lang w:eastAsia="zh-CN"/>
        </w:rPr>
        <w:t>分）</w:t>
      </w:r>
    </w:p>
    <w:p w14:paraId="1B616A08">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highlight w:val="none"/>
          <w:lang w:eastAsia="zh-CN"/>
        </w:rPr>
        <w:t>县教育局（本级）人员情况：局机关行政编制9人，实有9人，事业编制25人，实有20人。行政编制人员控</w:t>
      </w:r>
      <w:r>
        <w:rPr>
          <w:rFonts w:hint="default" w:ascii="Times New Roman" w:hAnsi="Times New Roman" w:eastAsia="仿宋_GB2312" w:cs="Times New Roman"/>
          <w:b w:val="0"/>
          <w:bCs w:val="0"/>
          <w:sz w:val="32"/>
          <w:szCs w:val="32"/>
          <w:lang w:eastAsia="zh-CN"/>
        </w:rPr>
        <w:t>制率100%，事业编制人员控制率80%＜100%。依据评分标准得3分。</w:t>
      </w:r>
    </w:p>
    <w:p w14:paraId="6A7F097F">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800" w:leftChars="0" w:right="0" w:rightChars="0" w:firstLine="0" w:firstLineChars="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产出质量（满分</w:t>
      </w:r>
      <w:r>
        <w:rPr>
          <w:rFonts w:hint="eastAsia" w:eastAsia="仿宋_GB2312" w:cs="Times New Roman"/>
          <w:b/>
          <w:bCs/>
          <w:sz w:val="32"/>
          <w:szCs w:val="32"/>
          <w:lang w:val="en-US" w:eastAsia="zh-CN"/>
        </w:rPr>
        <w:t>4</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4</w:t>
      </w:r>
      <w:r>
        <w:rPr>
          <w:rFonts w:hint="default" w:ascii="Times New Roman" w:hAnsi="Times New Roman" w:eastAsia="仿宋_GB2312" w:cs="Times New Roman"/>
          <w:b/>
          <w:bCs/>
          <w:sz w:val="32"/>
          <w:szCs w:val="32"/>
        </w:rPr>
        <w:t>分）</w:t>
      </w:r>
    </w:p>
    <w:p w14:paraId="2B8A3FF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1）项目实际完成情况（满分</w:t>
      </w:r>
      <w:r>
        <w:rPr>
          <w:rFonts w:hint="eastAsia"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lang w:val="en-US" w:eastAsia="zh-CN"/>
        </w:rPr>
        <w:t>分，实得</w:t>
      </w:r>
      <w:r>
        <w:rPr>
          <w:rFonts w:hint="eastAsia"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lang w:val="en-US" w:eastAsia="zh-CN"/>
        </w:rPr>
        <w:t>分）</w:t>
      </w:r>
    </w:p>
    <w:p w14:paraId="7F88659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县教育局（本级）工程类项目，如：汊口小学教学楼维修改造项目、海阳一小新建室外附属工程、海阳二小教学楼教室内铺设墙裙及墙面出新项目和商山初中教学楼维修改造项目等，均组织了竣工验收并且验收质量合格，依据评分标准得4分。</w:t>
      </w:r>
    </w:p>
    <w:p w14:paraId="0A34C353">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800" w:leftChars="0" w:right="0" w:rightChars="0" w:firstLine="0" w:firstLineChars="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产出时效（满分</w:t>
      </w:r>
      <w:r>
        <w:rPr>
          <w:rFonts w:hint="eastAsia" w:eastAsia="仿宋_GB2312" w:cs="Times New Roman"/>
          <w:b/>
          <w:bCs/>
          <w:sz w:val="32"/>
          <w:szCs w:val="32"/>
          <w:lang w:val="en-US" w:eastAsia="zh-CN"/>
        </w:rPr>
        <w:t>4</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4</w:t>
      </w:r>
      <w:r>
        <w:rPr>
          <w:rFonts w:hint="default" w:ascii="Times New Roman" w:hAnsi="Times New Roman" w:eastAsia="仿宋_GB2312" w:cs="Times New Roman"/>
          <w:b/>
          <w:bCs/>
          <w:sz w:val="32"/>
          <w:szCs w:val="32"/>
        </w:rPr>
        <w:t>分）</w:t>
      </w:r>
    </w:p>
    <w:p w14:paraId="06F98787">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项目完成时效性（满分</w:t>
      </w:r>
      <w:r>
        <w:rPr>
          <w:rFonts w:hint="eastAsia"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lang w:val="en-US" w:eastAsia="zh-CN"/>
        </w:rPr>
        <w:t>分，实得</w:t>
      </w:r>
      <w:r>
        <w:rPr>
          <w:rFonts w:hint="eastAsia"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lang w:val="en-US" w:eastAsia="zh-CN"/>
        </w:rPr>
        <w:t>分）</w:t>
      </w:r>
    </w:p>
    <w:p w14:paraId="349C49F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建设项目均在8月底前完成，部分项目工期较合同约定有所延期。溪口小学改造教学楼屋面项目由黄山市成皓建设工程有限公司承建，合同工期为2024年6月1日至2024年6月30日，实际于2024年7月25日完工，延期25天，延期原因为合同工期内学校未放假，经双方协商达成一致；齐云山小学教学楼维修改造项目由安徽曼召建筑工程有限公司承建，合同工期为2024年7月2日至2024年8月10日，实际于2024年8月29日完成竣工验收，延期19天，延期原因为个别工程量增加及高温天气影响，经双方协商达成一致。根据评分标准得分为4分。</w:t>
      </w:r>
      <w:r>
        <w:rPr>
          <w:rFonts w:hint="default" w:ascii="Times New Roman" w:hAnsi="Times New Roman" w:eastAsia="仿宋_GB2312" w:cs="Times New Roman"/>
          <w:b w:val="0"/>
          <w:bCs w:val="0"/>
          <w:sz w:val="32"/>
          <w:szCs w:val="32"/>
          <w:lang w:val="en-US"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产出成本（满分</w:t>
      </w: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rPr>
        <w:t>分，实得</w:t>
      </w: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rPr>
        <w:t>分）</w:t>
      </w:r>
    </w:p>
    <w:p w14:paraId="30EABA3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）整体支出成本（满分</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eastAsia="zh-CN"/>
        </w:rPr>
        <w:t>分，实得</w:t>
      </w:r>
      <w:r>
        <w:rPr>
          <w:rFonts w:hint="default" w:ascii="Times New Roman" w:hAnsi="Times New Roman" w:eastAsia="仿宋_GB2312" w:cs="Times New Roman"/>
          <w:b w:val="0"/>
          <w:bCs w:val="0"/>
          <w:sz w:val="32"/>
          <w:szCs w:val="32"/>
          <w:lang w:val="en-US" w:eastAsia="zh-CN"/>
        </w:rPr>
        <w:t>5分</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县教育局（本级）2024年全年预算9067.52万元，2024年实际支出9067.52万元，成本节约率0%。整体支出成本未超出预算，依据评分标准得5分。</w:t>
      </w:r>
    </w:p>
    <w:p w14:paraId="25050ED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）项目支出成本</w:t>
      </w:r>
      <w:r>
        <w:rPr>
          <w:rFonts w:hint="default" w:ascii="Times New Roman" w:hAnsi="Times New Roman" w:eastAsia="仿宋_GB2312" w:cs="Times New Roman"/>
          <w:b w:val="0"/>
          <w:bCs w:val="0"/>
          <w:sz w:val="32"/>
          <w:szCs w:val="32"/>
        </w:rPr>
        <w:t>（满分</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分，实得</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分）</w:t>
      </w:r>
    </w:p>
    <w:p w14:paraId="72902D8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县教育局（本级）项目成本管控规范有序，经核查53个项目的单项支出均严格控制在预算范围内，未发现任何超支情况。依据相关评分标准得5分。</w:t>
      </w:r>
    </w:p>
    <w:p w14:paraId="390ABFFA">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b/>
          <w:bCs w:val="0"/>
        </w:rPr>
      </w:pPr>
      <w:bookmarkStart w:id="16" w:name="_Toc8692"/>
      <w:r>
        <w:rPr>
          <w:rFonts w:hint="eastAsia" w:ascii="楷体_GB2312" w:hAnsi="楷体_GB2312" w:eastAsia="楷体_GB2312" w:cs="楷体_GB2312"/>
          <w:b/>
          <w:bCs w:val="0"/>
        </w:rPr>
        <w:t>（四）效益（满分30分，实得</w:t>
      </w:r>
      <w:r>
        <w:rPr>
          <w:rFonts w:hint="eastAsia" w:ascii="楷体_GB2312" w:hAnsi="楷体_GB2312" w:eastAsia="楷体_GB2312" w:cs="楷体_GB2312"/>
          <w:b/>
          <w:bCs w:val="0"/>
          <w:lang w:val="en-US" w:eastAsia="zh-CN"/>
        </w:rPr>
        <w:t>29.00</w:t>
      </w:r>
      <w:r>
        <w:rPr>
          <w:rFonts w:hint="eastAsia" w:ascii="楷体_GB2312" w:hAnsi="楷体_GB2312" w:eastAsia="楷体_GB2312" w:cs="楷体_GB2312"/>
          <w:b/>
          <w:bCs w:val="0"/>
        </w:rPr>
        <w:t>分）</w:t>
      </w:r>
      <w:bookmarkEnd w:id="16"/>
    </w:p>
    <w:p w14:paraId="0A25238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经济效益</w:t>
      </w:r>
      <w:r>
        <w:rPr>
          <w:rFonts w:hint="default" w:ascii="Times New Roman" w:hAnsi="Times New Roman" w:eastAsia="仿宋_GB2312" w:cs="Times New Roman"/>
          <w:b/>
          <w:bCs/>
          <w:sz w:val="32"/>
          <w:szCs w:val="32"/>
        </w:rPr>
        <w:t>（满分</w:t>
      </w:r>
      <w:r>
        <w:rPr>
          <w:rFonts w:hint="eastAsia" w:eastAsia="仿宋_GB2312" w:cs="Times New Roman"/>
          <w:b/>
          <w:bCs/>
          <w:sz w:val="32"/>
          <w:szCs w:val="32"/>
          <w:lang w:val="en-US" w:eastAsia="zh-CN"/>
        </w:rPr>
        <w:t>3</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3</w:t>
      </w:r>
      <w:r>
        <w:rPr>
          <w:rFonts w:hint="default" w:ascii="Times New Roman" w:hAnsi="Times New Roman" w:eastAsia="仿宋_GB2312" w:cs="Times New Roman"/>
          <w:b/>
          <w:bCs/>
          <w:sz w:val="32"/>
          <w:szCs w:val="32"/>
        </w:rPr>
        <w:t>分）</w:t>
      </w:r>
      <w:r>
        <w:rPr>
          <w:rFonts w:hint="default" w:ascii="Times New Roman" w:hAnsi="Times New Roman" w:eastAsia="仿宋_GB2312" w:cs="Times New Roman"/>
          <w:b/>
          <w:bCs/>
          <w:sz w:val="32"/>
          <w:szCs w:val="32"/>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1）促进经济发展</w:t>
      </w:r>
      <w:r>
        <w:rPr>
          <w:rFonts w:hint="default" w:ascii="Times New Roman" w:hAnsi="Times New Roman" w:eastAsia="仿宋_GB2312" w:cs="Times New Roman"/>
          <w:b w:val="0"/>
          <w:bCs w:val="0"/>
          <w:sz w:val="32"/>
          <w:szCs w:val="32"/>
        </w:rPr>
        <w:t>（满分</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分，实得</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分）</w:t>
      </w:r>
      <w:r>
        <w:rPr>
          <w:rFonts w:hint="default" w:ascii="Times New Roman" w:hAnsi="Times New Roman" w:eastAsia="仿宋_GB2312" w:cs="Times New Roman"/>
          <w:b w:val="0"/>
          <w:bCs w:val="0"/>
          <w:sz w:val="32"/>
          <w:szCs w:val="32"/>
        </w:rPr>
        <w:br w:type="textWrapping"/>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安徽工业经济职业技术学院中专分校在休宁县徽匠学校正式挂牌成立，并于2024年秋季启动招生工作。该项目实现与徽匠学校教育资源共享，有效降低办学成本；紧密结合休宁县产业发展需求，新增设计算机网络技术、大数据与会计等特色专业，为本地企业定向培养高素质技能人才，缓解企业用工短缺问题；优质职业教育资源的引入提升了区域人才吸引力，促进企业投资落户，创造更多就业岗位。该项目对区域经济发展产生积极推动作用，依据评分标准得3分。</w:t>
      </w:r>
    </w:p>
    <w:p w14:paraId="4813F61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2.社会</w:t>
      </w:r>
      <w:r>
        <w:rPr>
          <w:rFonts w:hint="default" w:ascii="Times New Roman" w:hAnsi="Times New Roman" w:eastAsia="仿宋_GB2312" w:cs="Times New Roman"/>
          <w:b/>
          <w:bCs/>
          <w:sz w:val="32"/>
          <w:szCs w:val="32"/>
        </w:rPr>
        <w:t>效益（满分</w:t>
      </w:r>
      <w:r>
        <w:rPr>
          <w:rFonts w:hint="eastAsia" w:eastAsia="仿宋_GB2312" w:cs="Times New Roman"/>
          <w:b/>
          <w:bCs/>
          <w:sz w:val="32"/>
          <w:szCs w:val="32"/>
          <w:lang w:val="en-US" w:eastAsia="zh-CN"/>
        </w:rPr>
        <w:t>9</w:t>
      </w:r>
      <w:r>
        <w:rPr>
          <w:rFonts w:hint="default" w:ascii="Times New Roman" w:hAnsi="Times New Roman" w:eastAsia="仿宋_GB2312" w:cs="Times New Roman"/>
          <w:b/>
          <w:bCs/>
          <w:sz w:val="32"/>
          <w:szCs w:val="32"/>
        </w:rPr>
        <w:t>分，实得</w:t>
      </w:r>
      <w:r>
        <w:rPr>
          <w:rFonts w:hint="eastAsia" w:eastAsia="仿宋_GB2312" w:cs="Times New Roman"/>
          <w:b/>
          <w:bCs/>
          <w:sz w:val="32"/>
          <w:szCs w:val="32"/>
          <w:lang w:val="en-US" w:eastAsia="zh-CN"/>
        </w:rPr>
        <w:t>9</w:t>
      </w:r>
      <w:r>
        <w:rPr>
          <w:rFonts w:hint="default" w:ascii="Times New Roman" w:hAnsi="Times New Roman" w:eastAsia="仿宋_GB2312" w:cs="Times New Roman"/>
          <w:b/>
          <w:bCs/>
          <w:sz w:val="32"/>
          <w:szCs w:val="32"/>
        </w:rPr>
        <w:t>分）</w:t>
      </w:r>
    </w:p>
    <w:p w14:paraId="729E4B9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）提高教育质量（满分3分，实得</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分</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br w:type="textWrapping"/>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县教育局多措并举提升教育质量。强化思政教育建设，严格执行课程标准，组织思政教师及少先队辅导员专题培训，夯实立德树人基础；深化教育协作交流，实施“教育365共富协作区”项目，定期选派骨干教师外出学习，促进教育理念和管理经验更新；推进教育信息化应用，2024年常态化开展智慧课堂教学及“央广虚拟实验”等创新教学活动，全面提升教师信息技术应用能力；优化民办教育发展，2024年12月28日专题召开民办学校“双创”工作推进会，从政策扶持、资源保障、师资培训等方面加大支持力度。有效促进了区域教育质量整体提升，依据评分标准得3分。</w:t>
      </w:r>
      <w:r>
        <w:rPr>
          <w:rFonts w:hint="default" w:ascii="Times New Roman" w:hAnsi="Times New Roman" w:eastAsia="仿宋_GB2312" w:cs="Times New Roman"/>
          <w:b w:val="0"/>
          <w:bCs w:val="0"/>
          <w:sz w:val="32"/>
          <w:szCs w:val="32"/>
          <w:lang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）巩固校园安全（满分3分</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实得</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分</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县教育局多措并举强化校园安全管理。消防安全管理方面，联合县消防大队等部门开展专项整治行动，全面排查消除校园消防安全隐患；应急能力建设方面，严格落实校园封闭管理，组织安保人员开展“最小应急单元”实战演练，持续提升学校人防、物防、技防建设水平；食品安全监管方面，严格执行中小学、幼儿园集中用餐陪餐制度，创新引入家长监督机制；防溺水教育方面，扎实落实“1530”安全教育提醒制度。通过系统化安全管理体系建设，有效筑牢校园安全防线，依据评分标准得3分。</w:t>
      </w:r>
      <w:r>
        <w:rPr>
          <w:rFonts w:hint="default" w:ascii="Times New Roman" w:hAnsi="Times New Roman" w:eastAsia="仿宋_GB2312" w:cs="Times New Roman"/>
          <w:b w:val="0"/>
          <w:bCs w:val="0"/>
          <w:sz w:val="32"/>
          <w:szCs w:val="32"/>
          <w:lang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w:t>
      </w:r>
      <w:r>
        <w:rPr>
          <w:rFonts w:hint="eastAsia"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）教育民生进一步落实（满分3分实得</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分</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eastAsia" w:eastAsia="仿宋_GB2312" w:cs="Times New Roman"/>
          <w:b w:val="0"/>
          <w:bCs w:val="0"/>
          <w:sz w:val="32"/>
          <w:szCs w:val="32"/>
          <w:lang w:val="en-US" w:eastAsia="zh-CN"/>
        </w:rPr>
        <w:t>县教育局扎实推进教育惠民政策落实。学生资助方面，2024年全面落实家庭经济困难学生生活补助、普通高中国家助学金及学杂费免除政策，对建档立卡等困难学生按标准发放补助，免费提供国家规定课程教科书；教师保障方面，实施农村原民办教师教龄补助项目，切实解决农村原民办教师养老保障问题。通过精准实施教育民生工程，有效保障了困难学生就学权益和农村教师生活待遇，依据评分标准得3分</w:t>
      </w:r>
      <w:r>
        <w:rPr>
          <w:rFonts w:hint="default" w:ascii="Times New Roman" w:hAnsi="Times New Roman" w:eastAsia="仿宋_GB2312" w:cs="Times New Roman"/>
          <w:b w:val="0"/>
          <w:bCs w:val="0"/>
          <w:sz w:val="32"/>
          <w:szCs w:val="32"/>
          <w:lang w:eastAsia="zh-CN"/>
        </w:rPr>
        <w:t xml:space="preserve">。 </w:t>
      </w:r>
    </w:p>
    <w:p w14:paraId="2D5A441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lang w:val="en-US" w:eastAsia="zh-CN"/>
        </w:rPr>
        <w:t>2.生态效益</w:t>
      </w:r>
      <w:r>
        <w:rPr>
          <w:rFonts w:hint="default" w:ascii="Times New Roman" w:hAnsi="Times New Roman" w:eastAsia="仿宋_GB2312" w:cs="Times New Roman"/>
          <w:b/>
          <w:bCs/>
          <w:sz w:val="32"/>
          <w:szCs w:val="32"/>
        </w:rPr>
        <w:t>（满分</w:t>
      </w: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分，实得</w:t>
      </w: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分）</w:t>
      </w:r>
      <w:r>
        <w:rPr>
          <w:rFonts w:hint="default" w:ascii="Times New Roman" w:hAnsi="Times New Roman" w:eastAsia="仿宋_GB2312" w:cs="Times New Roman"/>
          <w:b/>
          <w:bCs/>
          <w:sz w:val="32"/>
          <w:szCs w:val="32"/>
          <w:lang w:eastAsia="zh-CN"/>
        </w:rPr>
        <w:br w:type="textWrapping"/>
      </w:r>
      <w:r>
        <w:rPr>
          <w:rFonts w:hint="default" w:ascii="Times New Roman" w:hAnsi="Times New Roman" w:eastAsia="仿宋_GB2312" w:cs="Times New Roman"/>
          <w:b w:val="0"/>
          <w:bCs w:val="0"/>
          <w:sz w:val="32"/>
          <w:szCs w:val="32"/>
          <w:lang w:val="en-US" w:eastAsia="zh-CN"/>
        </w:rPr>
        <w:t xml:space="preserve">    （1）维护教学及生态环境</w:t>
      </w:r>
      <w:r>
        <w:rPr>
          <w:rFonts w:hint="default" w:ascii="Times New Roman" w:hAnsi="Times New Roman" w:eastAsia="仿宋_GB2312" w:cs="Times New Roman"/>
          <w:b w:val="0"/>
          <w:bCs w:val="0"/>
          <w:sz w:val="32"/>
          <w:szCs w:val="32"/>
        </w:rPr>
        <w:t>（满分</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分，实得</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分）</w:t>
      </w:r>
      <w:r>
        <w:rPr>
          <w:rFonts w:hint="default" w:ascii="Times New Roman" w:hAnsi="Times New Roman" w:eastAsia="仿宋_GB2312" w:cs="Times New Roman"/>
          <w:b w:val="0"/>
          <w:bCs w:val="0"/>
          <w:sz w:val="32"/>
          <w:szCs w:val="32"/>
        </w:rPr>
        <w:br w:type="textWrapping"/>
      </w:r>
      <w:r>
        <w:rPr>
          <w:rFonts w:hint="default" w:ascii="Times New Roman" w:hAnsi="Times New Roman" w:eastAsia="仿宋_GB2312" w:cs="Times New Roman"/>
          <w:b w:val="0"/>
          <w:bCs w:val="0"/>
          <w:sz w:val="32"/>
          <w:szCs w:val="32"/>
          <w:lang w:val="en-US" w:eastAsia="zh-CN"/>
        </w:rPr>
        <w:t xml:space="preserve">    县教育局2024年通过实施系列环境整治工程有效维护教学及生态环境。基础设施改造方面，完成中心幼儿园教学楼及污水管道维修工程，消除污水外溢隐患，保障校园周边生态环境；教学环境优化方面，实施海阳二小墙裙铺设及墙面出新、齐云山小学教学楼改造等工程，并委托安徽春天里环境检测有限公司对璜尖小学等校舍开展室内环境污染物浓度检测，确保教学场所环境安全达标。显著改善了师生教学环境质量，依据评分标准得4分。</w:t>
      </w:r>
    </w:p>
    <w:p w14:paraId="6EEED6B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可持续影响</w:t>
      </w:r>
      <w:r>
        <w:rPr>
          <w:rFonts w:hint="default" w:ascii="Times New Roman" w:hAnsi="Times New Roman" w:eastAsia="仿宋_GB2312" w:cs="Times New Roman"/>
          <w:b/>
          <w:bCs/>
          <w:sz w:val="32"/>
          <w:szCs w:val="32"/>
        </w:rPr>
        <w:t>（满分</w:t>
      </w: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分，实得</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分）</w:t>
      </w:r>
    </w:p>
    <w:p w14:paraId="353348F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）长效管护制度（满分</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分，实得</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分）</w:t>
      </w:r>
      <w:r>
        <w:rPr>
          <w:rFonts w:hint="default" w:ascii="Times New Roman" w:hAnsi="Times New Roman" w:eastAsia="仿宋_GB2312" w:cs="Times New Roman"/>
          <w:b w:val="0"/>
          <w:bCs w:val="0"/>
          <w:sz w:val="32"/>
          <w:szCs w:val="32"/>
          <w:lang w:val="en-US" w:eastAsia="zh-CN"/>
        </w:rPr>
        <w:br w:type="textWrapping"/>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县教育局虽已制定《休宁县教育局建设工程管理办法》规范项目管理，但在项目后期管护方面仍存在不足。抽查海阳二小教学楼教室内铺设墙裙及墙面出新项目、海阳一小新建室外附属工程、</w:t>
      </w:r>
      <w:r>
        <w:rPr>
          <w:rFonts w:hint="eastAsia" w:eastAsia="仿宋_GB2312" w:cs="Times New Roman"/>
          <w:b w:val="0"/>
          <w:bCs w:val="0"/>
          <w:sz w:val="32"/>
          <w:szCs w:val="32"/>
          <w:lang w:val="en-US" w:eastAsia="zh-CN"/>
        </w:rPr>
        <w:t>齐云山</w:t>
      </w:r>
      <w:r>
        <w:rPr>
          <w:rFonts w:hint="default" w:ascii="Times New Roman" w:hAnsi="Times New Roman" w:eastAsia="仿宋_GB2312" w:cs="Times New Roman"/>
          <w:b w:val="0"/>
          <w:bCs w:val="0"/>
          <w:sz w:val="32"/>
          <w:szCs w:val="32"/>
          <w:lang w:eastAsia="zh-CN"/>
        </w:rPr>
        <w:t>小学教学楼维修改造项目等6个项目实地考察，发现2024年度实施的海阳一小新建室外附属工程已出现多处路面裂缝，后期管理存在疏漏，依据评分标准得3分。</w:t>
      </w:r>
    </w:p>
    <w:p w14:paraId="6E874B0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lang w:val="en-US" w:eastAsia="zh-CN"/>
        </w:rPr>
        <w:t>4.满意度（满分10分，实得10分）</w:t>
      </w:r>
    </w:p>
    <w:p w14:paraId="7EE2C6A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1）本次收到调查问卷66份，根据对满意度问卷调查的统计，该项目满意度为98.65%，对象满意度＞92%。依据评分标准得10分。</w:t>
      </w:r>
    </w:p>
    <w:p w14:paraId="2B28A183">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bookmarkStart w:id="17" w:name="_Toc9685"/>
      <w:r>
        <w:rPr>
          <w:rFonts w:hint="eastAsia" w:ascii="黑体" w:hAnsi="黑体" w:eastAsia="黑体" w:cs="黑体"/>
          <w:b w:val="0"/>
          <w:bCs w:val="0"/>
          <w:sz w:val="32"/>
          <w:szCs w:val="32"/>
        </w:rPr>
        <w:t>四、存在问题</w:t>
      </w:r>
      <w:bookmarkEnd w:id="17"/>
    </w:p>
    <w:p w14:paraId="56C6913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通过评价发现，</w:t>
      </w:r>
      <w:r>
        <w:rPr>
          <w:rFonts w:hint="default" w:ascii="Times New Roman" w:hAnsi="Times New Roman" w:eastAsia="仿宋_GB2312" w:cs="Times New Roman"/>
          <w:b w:val="0"/>
          <w:bCs w:val="0"/>
          <w:sz w:val="32"/>
          <w:szCs w:val="32"/>
          <w:lang w:val="en-US" w:eastAsia="zh-CN"/>
        </w:rPr>
        <w:t>2024</w:t>
      </w:r>
      <w:r>
        <w:rPr>
          <w:rFonts w:hint="default" w:ascii="Times New Roman" w:hAnsi="Times New Roman" w:eastAsia="仿宋_GB2312" w:cs="Times New Roman"/>
          <w:b w:val="0"/>
          <w:bCs w:val="0"/>
          <w:sz w:val="32"/>
          <w:szCs w:val="32"/>
        </w:rPr>
        <w:t>年度</w:t>
      </w:r>
      <w:r>
        <w:rPr>
          <w:rFonts w:hint="default" w:ascii="Times New Roman" w:hAnsi="Times New Roman" w:eastAsia="仿宋_GB2312" w:cs="Times New Roman"/>
          <w:b w:val="0"/>
          <w:bCs w:val="0"/>
          <w:sz w:val="32"/>
          <w:szCs w:val="32"/>
          <w:lang w:eastAsia="zh-CN"/>
        </w:rPr>
        <w:t>县教育局</w:t>
      </w:r>
      <w:r>
        <w:rPr>
          <w:rFonts w:hint="default" w:ascii="Times New Roman" w:hAnsi="Times New Roman" w:eastAsia="仿宋_GB2312" w:cs="Times New Roman"/>
          <w:b w:val="0"/>
          <w:bCs w:val="0"/>
          <w:sz w:val="32"/>
          <w:szCs w:val="32"/>
        </w:rPr>
        <w:t>在加强预算资金绩效管理方面虽取得了一定的成效，但还存在一些问题和不足，主要表现在：</w:t>
      </w:r>
    </w:p>
    <w:p w14:paraId="2124132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textAlignment w:val="auto"/>
        <w:rPr>
          <w:rFonts w:hint="eastAsia"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一是预算编制与执行方面。</w:t>
      </w:r>
      <w:r>
        <w:rPr>
          <w:rFonts w:hint="default" w:ascii="Times New Roman" w:hAnsi="Times New Roman" w:eastAsia="仿宋_GB2312" w:cs="Times New Roman"/>
          <w:b w:val="0"/>
          <w:bCs w:val="0"/>
          <w:sz w:val="32"/>
          <w:szCs w:val="32"/>
        </w:rPr>
        <w:t>个别项目预算执行率较低。提前下达2023年支持学前教育发展资金全年预算124.75万元，2024年实际支出50.30万元，项目预算执行率为40.32%。政府采购支出未编制采购预算。根据《2024年决算报表休宁县教育局</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本级</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》得知，休宁县教育局2024年实际政府采购支出965.55万元，但预算公开中《休宁县教育局2024年政府采购支出表》未编制预算。</w:t>
      </w:r>
      <w:r>
        <w:rPr>
          <w:rFonts w:hint="eastAsia" w:eastAsia="仿宋_GB2312" w:cs="Times New Roman"/>
          <w:b w:val="0"/>
          <w:bCs w:val="0"/>
          <w:sz w:val="32"/>
          <w:szCs w:val="32"/>
          <w:lang w:val="en-US" w:eastAsia="zh-CN"/>
        </w:rPr>
        <w:t xml:space="preserve"> </w:t>
      </w:r>
      <w:r>
        <w:rPr>
          <w:rFonts w:hint="eastAsia" w:eastAsia="仿宋_GB2312" w:cs="Times New Roman"/>
          <w:b w:val="0"/>
          <w:bCs w:val="0"/>
          <w:sz w:val="32"/>
          <w:szCs w:val="32"/>
          <w:lang w:val="en-US" w:eastAsia="zh-CN"/>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rPr>
        <w:t>二是存在未按合同扣留质保金。</w:t>
      </w:r>
      <w:r>
        <w:rPr>
          <w:rFonts w:hint="default" w:ascii="Times New Roman" w:hAnsi="Times New Roman" w:eastAsia="仿宋_GB2312" w:cs="Times New Roman"/>
          <w:b w:val="0"/>
          <w:bCs w:val="0"/>
          <w:sz w:val="32"/>
          <w:szCs w:val="32"/>
        </w:rPr>
        <w:t>2024年4月全额支付海阳中学储物房维修改造项目尾款5.61万元，未扣留3%质保金0.17万元（该项目2023年11月验收合格）。</w:t>
      </w:r>
      <w:r>
        <w:rPr>
          <w:rFonts w:hint="default" w:ascii="Times New Roman" w:hAnsi="Times New Roman" w:eastAsia="仿宋_GB2312" w:cs="Times New Roman"/>
          <w:b w:val="0"/>
          <w:bCs w:val="0"/>
          <w:sz w:val="32"/>
          <w:szCs w:val="32"/>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rPr>
        <w:t>三是财务管理方面。</w:t>
      </w:r>
      <w:r>
        <w:rPr>
          <w:rFonts w:hint="default" w:ascii="Times New Roman" w:hAnsi="Times New Roman" w:eastAsia="仿宋_GB2312" w:cs="Times New Roman"/>
          <w:b w:val="0"/>
          <w:bCs w:val="0"/>
          <w:sz w:val="32"/>
          <w:szCs w:val="32"/>
        </w:rPr>
        <w:t>①会计科目核算不规范。退休人员费用列入“业务活动费”科目，未按规定使用“管理费用”科目；2024年9月预付海阳第四小学建设项目资金1000万元计入“业务活动费”科目，应列入“预付账款”科目；2024年4月支付海阳四小建设项目土地划拨费1</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164.23万元、2024年6月支付智慧学校建设项目款184.62万元、2024年7月支付打印机采购款4.12万元及速印机1.18万元、2024年9月支付空调采购款24.64万元、2024年12月支付电脑采购款57.05万元等固定资产购置支出均计入“业务活动费”科目，未按规定列入“固定资产”或“无形资产”科目。②项目资金未专款专用。2024年11月挪用“奖教奖学经费”支付职工体检费8.90万元；2024年12月挪用“农村原民办老教师教龄补助”资金支付党报党刊征订费1.55万元；2024年12月挪用“教育督导评价奖励补助资金”支付党报党刊征订费0.08万元。③费用跨期列支。2024年1月支付2023年免费簿本</w:t>
      </w:r>
      <w:r>
        <w:rPr>
          <w:rFonts w:hint="eastAsia" w:eastAsia="仿宋_GB2312" w:cs="Times New Roman"/>
          <w:b w:val="0"/>
          <w:bCs w:val="0"/>
          <w:sz w:val="32"/>
          <w:szCs w:val="32"/>
          <w:lang w:val="en-US" w:eastAsia="zh-CN"/>
        </w:rPr>
        <w:t>费</w:t>
      </w:r>
      <w:r>
        <w:rPr>
          <w:rFonts w:hint="default" w:ascii="Times New Roman" w:hAnsi="Times New Roman" w:eastAsia="仿宋_GB2312" w:cs="Times New Roman"/>
          <w:b w:val="0"/>
          <w:bCs w:val="0"/>
          <w:sz w:val="32"/>
          <w:szCs w:val="32"/>
        </w:rPr>
        <w:t>21.40万元及2022—2023年会议室绿植租金0.62万元；2024年2月支付2023年11月公务用车费1.13万元及2023年秋季免费读本25.84万元，上述支出均计入当期“业务活动费”科目，违反权责发生制原则，影响会计信息准确性。</w:t>
      </w:r>
      <w:r>
        <w:rPr>
          <w:rFonts w:hint="default" w:ascii="Times New Roman" w:hAnsi="Times New Roman" w:eastAsia="仿宋_GB2312" w:cs="Times New Roman"/>
          <w:b w:val="0"/>
          <w:bCs w:val="0"/>
          <w:sz w:val="32"/>
          <w:szCs w:val="32"/>
        </w:rPr>
        <w:br w:type="textWrapping"/>
      </w:r>
      <w:r>
        <w:rPr>
          <w:rFonts w:hint="eastAsia"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rPr>
        <w:t>四是项目管理不规范。</w:t>
      </w:r>
      <w:r>
        <w:rPr>
          <w:rFonts w:hint="default" w:ascii="Times New Roman" w:hAnsi="Times New Roman" w:eastAsia="仿宋_GB2312" w:cs="Times New Roman"/>
          <w:b w:val="0"/>
          <w:bCs w:val="0"/>
          <w:sz w:val="32"/>
          <w:szCs w:val="32"/>
        </w:rPr>
        <w:t>①工程项目变更不规范。海阳二中新建餐厅项目—装饰装修及挡墙工程项目合同价43.12万元，实际结算价48.04万元，超合同价11.41%，不符合《中华人民共和国政府采购法》第四十九条规定，需重新签订合同；②个别项目管护不到位，抽查6个工程类项目实地考察，发现海阳一小新建室外附属工程已出现多处路面裂缝，后期管理存在疏漏。</w:t>
      </w:r>
    </w:p>
    <w:p w14:paraId="253DB983">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黑体" w:cs="Times New Roman"/>
          <w:b w:val="0"/>
          <w:bCs/>
          <w:sz w:val="32"/>
          <w:szCs w:val="32"/>
        </w:rPr>
      </w:pPr>
      <w:r>
        <w:rPr>
          <w:rFonts w:hint="eastAsia" w:eastAsia="仿宋_GB2312" w:cs="Times New Roman"/>
          <w:b w:val="0"/>
          <w:bCs w:val="0"/>
          <w:sz w:val="32"/>
          <w:szCs w:val="32"/>
          <w:lang w:val="en-US" w:eastAsia="zh-CN"/>
        </w:rPr>
        <w:t xml:space="preserve"> </w:t>
      </w:r>
      <w:bookmarkStart w:id="18" w:name="_Toc17679"/>
      <w:r>
        <w:rPr>
          <w:rFonts w:hint="default" w:ascii="Times New Roman" w:hAnsi="Times New Roman" w:eastAsia="黑体" w:cs="Times New Roman"/>
          <w:b w:val="0"/>
          <w:bCs/>
          <w:sz w:val="32"/>
          <w:szCs w:val="32"/>
        </w:rPr>
        <w:t>五、意见和建议</w:t>
      </w:r>
      <w:bookmarkEnd w:id="18"/>
    </w:p>
    <w:p w14:paraId="00B6BB2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为进一步加强部门预算绩效管理，提高财政资金使用效益，针对存在的问题，提出如下建议：</w:t>
      </w:r>
    </w:p>
    <w:p w14:paraId="5224995C">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rPr>
        <w:t>一要</w:t>
      </w:r>
      <w:r>
        <w:rPr>
          <w:rFonts w:hint="default" w:ascii="Times New Roman" w:hAnsi="Times New Roman" w:eastAsia="仿宋_GB2312" w:cs="Times New Roman"/>
          <w:b w:val="0"/>
          <w:bCs/>
          <w:sz w:val="32"/>
          <w:szCs w:val="32"/>
        </w:rPr>
        <w:t>加强预算管理，细化预算编制。强化预算执行意识，确保各项支出严格按照预算执行。加强对政府采购预算的编制和执行管理，确保所有采购活动都纳入预算管理，严格按照预算进行采购。</w:t>
      </w:r>
      <w:r>
        <w:rPr>
          <w:rFonts w:hint="default" w:ascii="Times New Roman" w:hAnsi="Times New Roman" w:eastAsia="仿宋_GB2312" w:cs="Times New Roman"/>
          <w:b w:val="0"/>
          <w:bCs/>
          <w:sz w:val="32"/>
          <w:szCs w:val="32"/>
        </w:rPr>
        <w:br w:type="textWrapping"/>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bCs w:val="0"/>
          <w:sz w:val="32"/>
          <w:szCs w:val="32"/>
        </w:rPr>
        <w:t>二要</w:t>
      </w:r>
      <w:r>
        <w:rPr>
          <w:rFonts w:hint="default" w:ascii="Times New Roman" w:hAnsi="Times New Roman" w:eastAsia="仿宋_GB2312" w:cs="Times New Roman"/>
          <w:b w:val="0"/>
          <w:bCs/>
          <w:sz w:val="32"/>
          <w:szCs w:val="32"/>
        </w:rPr>
        <w:t>加强合同管理，核查合同付款条款执行情况，严格履行合同条款。</w:t>
      </w:r>
      <w:r>
        <w:rPr>
          <w:rFonts w:hint="default" w:ascii="Times New Roman" w:hAnsi="Times New Roman" w:eastAsia="仿宋_GB2312" w:cs="Times New Roman"/>
          <w:b w:val="0"/>
          <w:bCs/>
          <w:sz w:val="32"/>
          <w:szCs w:val="32"/>
        </w:rPr>
        <w:br w:type="textWrapping"/>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bCs w:val="0"/>
          <w:sz w:val="32"/>
          <w:szCs w:val="32"/>
        </w:rPr>
        <w:t>三要</w:t>
      </w:r>
      <w:r>
        <w:rPr>
          <w:rFonts w:hint="default" w:ascii="Times New Roman" w:hAnsi="Times New Roman" w:eastAsia="仿宋_GB2312" w:cs="Times New Roman"/>
          <w:b w:val="0"/>
          <w:bCs/>
          <w:sz w:val="32"/>
          <w:szCs w:val="32"/>
        </w:rPr>
        <w:t>严格遵循会计准则及政府会计制度核算要求，规范会计科目核算；严格执行专项资金管理制度，规范审批流程及监管责任，确保资金能够专款专用；落实权责发生制核算原则，确保费用及时准确入账，严禁跨期列支。</w:t>
      </w:r>
      <w:r>
        <w:rPr>
          <w:rFonts w:hint="default" w:ascii="Times New Roman" w:hAnsi="Times New Roman" w:eastAsia="仿宋_GB2312" w:cs="Times New Roman"/>
          <w:b w:val="0"/>
          <w:bCs/>
          <w:sz w:val="32"/>
          <w:szCs w:val="32"/>
        </w:rPr>
        <w:br w:type="textWrapping"/>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bCs w:val="0"/>
          <w:sz w:val="32"/>
          <w:szCs w:val="32"/>
        </w:rPr>
        <w:t>四要</w:t>
      </w:r>
      <w:r>
        <w:rPr>
          <w:rFonts w:hint="default" w:ascii="Times New Roman" w:hAnsi="Times New Roman" w:eastAsia="仿宋_GB2312" w:cs="Times New Roman"/>
          <w:b w:val="0"/>
          <w:bCs/>
          <w:sz w:val="32"/>
          <w:szCs w:val="32"/>
        </w:rPr>
        <w:t>加强项目管理。严格执行《中华人民共和国政府采购法》规定，超合同价</w:t>
      </w:r>
      <w:r>
        <w:rPr>
          <w:rFonts w:hint="eastAsia" w:eastAsia="仿宋_GB2312" w:cs="Times New Roman"/>
          <w:b w:val="0"/>
          <w:bCs/>
          <w:sz w:val="32"/>
          <w:szCs w:val="32"/>
          <w:lang w:val="en-US" w:eastAsia="zh-CN"/>
        </w:rPr>
        <w:t>10%</w:t>
      </w:r>
      <w:r>
        <w:rPr>
          <w:rFonts w:hint="default" w:ascii="Times New Roman" w:hAnsi="Times New Roman" w:eastAsia="仿宋_GB2312" w:cs="Times New Roman"/>
          <w:b w:val="0"/>
          <w:bCs/>
          <w:sz w:val="32"/>
          <w:szCs w:val="32"/>
        </w:rPr>
        <w:t>项目必须履行重新签约程序（含专家论证、审批等流程）；落实长效管护责任，建立维护考核机制，确保管理实效。</w:t>
      </w:r>
      <w:r>
        <w:rPr>
          <w:rFonts w:hint="eastAsia" w:ascii="Times New Roman" w:hAnsi="Times New Roman" w:eastAsia="仿宋_GB2312" w:cs="Times New Roman"/>
          <w:b w:val="0"/>
          <w:bCs/>
          <w:sz w:val="32"/>
          <w:szCs w:val="32"/>
          <w:lang w:val="en-US" w:eastAsia="zh-CN"/>
        </w:rPr>
        <w:t xml:space="preserve">      </w:t>
      </w:r>
    </w:p>
    <w:p w14:paraId="5C9ABC9D">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19" w:name="_Toc26237"/>
      <w:r>
        <w:rPr>
          <w:rFonts w:hint="eastAsia" w:ascii="黑体" w:hAnsi="黑体" w:eastAsia="黑体" w:cs="黑体"/>
          <w:b w:val="0"/>
          <w:bCs/>
          <w:sz w:val="32"/>
          <w:szCs w:val="32"/>
        </w:rPr>
        <w:t>六、评价组织情况</w:t>
      </w:r>
      <w:bookmarkEnd w:id="19"/>
    </w:p>
    <w:p w14:paraId="060A71AF">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rPr>
      </w:pPr>
      <w:bookmarkStart w:id="20" w:name="_Toc17872"/>
      <w:r>
        <w:rPr>
          <w:rFonts w:hint="eastAsia" w:ascii="楷体_GB2312" w:hAnsi="楷体_GB2312" w:eastAsia="楷体_GB2312" w:cs="楷体_GB2312"/>
        </w:rPr>
        <w:t>（一）评价组织</w:t>
      </w:r>
      <w:bookmarkEnd w:id="20"/>
    </w:p>
    <w:p w14:paraId="63D0D22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本次评价工作受</w:t>
      </w:r>
      <w:r>
        <w:rPr>
          <w:rFonts w:hint="eastAsia" w:ascii="Times New Roman" w:hAnsi="Times New Roman" w:eastAsia="仿宋_GB2312" w:cs="Times New Roman"/>
          <w:sz w:val="32"/>
          <w:szCs w:val="32"/>
          <w:lang w:val="en-US" w:eastAsia="zh-CN"/>
        </w:rPr>
        <w:t>休宁县</w:t>
      </w:r>
      <w:r>
        <w:rPr>
          <w:rFonts w:hint="default" w:ascii="Times New Roman" w:hAnsi="Times New Roman" w:eastAsia="仿宋_GB2312" w:cs="Times New Roman"/>
          <w:sz w:val="32"/>
          <w:szCs w:val="32"/>
        </w:rPr>
        <w:t>财政局委托，</w:t>
      </w:r>
      <w:r>
        <w:rPr>
          <w:rFonts w:hint="default" w:ascii="Times New Roman" w:hAnsi="Times New Roman" w:eastAsia="仿宋_GB2312" w:cs="Times New Roman"/>
          <w:sz w:val="32"/>
          <w:szCs w:val="32"/>
          <w:lang w:val="en-US" w:eastAsia="zh-CN"/>
        </w:rPr>
        <w:t>北京兴华会计师事务所（安徽分所）</w:t>
      </w:r>
      <w:r>
        <w:rPr>
          <w:rFonts w:hint="default" w:ascii="Times New Roman" w:hAnsi="Times New Roman" w:eastAsia="仿宋_GB2312" w:cs="Times New Roman"/>
          <w:sz w:val="32"/>
          <w:szCs w:val="32"/>
        </w:rPr>
        <w:t>具体实施，根据工作任务量，配备</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名人员，其中：执业注册类</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名、初级职称</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名。评价工作分三个阶段：制定评价工作方案和指标体系、评价实施和综合分析、撰写和提交评价报告。</w:t>
      </w:r>
    </w:p>
    <w:p w14:paraId="3A910D11">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rPr>
      </w:pPr>
      <w:bookmarkStart w:id="21" w:name="_Toc23088"/>
      <w:r>
        <w:rPr>
          <w:rFonts w:hint="eastAsia" w:ascii="楷体_GB2312" w:hAnsi="楷体_GB2312" w:eastAsia="楷体_GB2312" w:cs="楷体_GB2312"/>
        </w:rPr>
        <w:t>（二）评价方案及指标的制定</w:t>
      </w:r>
      <w:bookmarkEnd w:id="21"/>
    </w:p>
    <w:p w14:paraId="5F81A19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根据评价工作总体要求，结合</w:t>
      </w:r>
      <w:r>
        <w:rPr>
          <w:rFonts w:hint="eastAsia" w:ascii="Times New Roman" w:hAnsi="Times New Roman" w:eastAsia="仿宋_GB2312" w:cs="Times New Roman"/>
          <w:sz w:val="32"/>
          <w:szCs w:val="32"/>
          <w:lang w:val="en-US" w:eastAsia="zh-CN"/>
        </w:rPr>
        <w:t>县教育局</w:t>
      </w:r>
      <w:r>
        <w:rPr>
          <w:rFonts w:hint="default" w:ascii="Times New Roman" w:hAnsi="Times New Roman" w:eastAsia="仿宋_GB2312" w:cs="Times New Roman"/>
          <w:sz w:val="32"/>
          <w:szCs w:val="32"/>
        </w:rPr>
        <w:t>情况制定具体评价工作方案和评价指标体系，经</w:t>
      </w:r>
      <w:r>
        <w:rPr>
          <w:rFonts w:hint="eastAsia" w:ascii="Times New Roman" w:hAnsi="Times New Roman" w:eastAsia="仿宋_GB2312" w:cs="Times New Roman"/>
          <w:sz w:val="32"/>
          <w:szCs w:val="32"/>
          <w:lang w:val="en-US" w:eastAsia="zh-CN"/>
        </w:rPr>
        <w:t>休宁县</w:t>
      </w:r>
      <w:r>
        <w:rPr>
          <w:rFonts w:hint="default" w:ascii="Times New Roman" w:hAnsi="Times New Roman" w:eastAsia="仿宋_GB2312" w:cs="Times New Roman"/>
          <w:sz w:val="32"/>
          <w:szCs w:val="32"/>
        </w:rPr>
        <w:t>财政局组织会审后，根据会审意见修改完善，报</w:t>
      </w:r>
      <w:r>
        <w:rPr>
          <w:rFonts w:hint="eastAsia" w:ascii="Times New Roman" w:hAnsi="Times New Roman" w:eastAsia="仿宋_GB2312" w:cs="Times New Roman"/>
          <w:sz w:val="32"/>
          <w:szCs w:val="32"/>
          <w:lang w:val="en-US" w:eastAsia="zh-CN"/>
        </w:rPr>
        <w:t>休宁县</w:t>
      </w:r>
      <w:r>
        <w:rPr>
          <w:rFonts w:hint="default" w:ascii="Times New Roman" w:hAnsi="Times New Roman" w:eastAsia="仿宋_GB2312" w:cs="Times New Roman"/>
          <w:sz w:val="32"/>
          <w:szCs w:val="32"/>
        </w:rPr>
        <w:t>财政局审定后实施。</w:t>
      </w:r>
    </w:p>
    <w:p w14:paraId="26562960">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rPr>
      </w:pPr>
      <w:bookmarkStart w:id="22" w:name="_Toc20091"/>
      <w:r>
        <w:rPr>
          <w:rFonts w:hint="eastAsia" w:ascii="楷体_GB2312" w:hAnsi="楷体_GB2312" w:eastAsia="楷体_GB2312" w:cs="楷体_GB2312"/>
        </w:rPr>
        <w:t>（三）评价方法</w:t>
      </w:r>
      <w:bookmarkEnd w:id="22"/>
    </w:p>
    <w:p w14:paraId="73DEAD8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评价方法主要包括</w:t>
      </w:r>
      <w:r>
        <w:rPr>
          <w:rFonts w:hint="default" w:ascii="Times New Roman" w:hAnsi="Times New Roman" w:eastAsia="仿宋_GB2312" w:cs="Times New Roman"/>
          <w:bCs/>
          <w:sz w:val="32"/>
          <w:szCs w:val="32"/>
        </w:rPr>
        <w:t>成本效益分析法、比较法、因素分析法、最低成本法、公众评判法、标杆管理法等</w:t>
      </w:r>
      <w:r>
        <w:rPr>
          <w:rFonts w:hint="default" w:ascii="Times New Roman" w:hAnsi="Times New Roman" w:eastAsia="仿宋_GB2312" w:cs="Times New Roman"/>
          <w:sz w:val="32"/>
          <w:szCs w:val="32"/>
        </w:rPr>
        <w:t>，结合实际选择确定。本次评价实施了查阅资料、计算、分析性复核、实地察看、盘点、满意度调查等程序，重点是对部门预算执行情况，预算管理情况，政府采购执行情况，资金支出的真实性、合法性，部门年度内实现的产出情况、取得的效益情况进行评价。</w:t>
      </w:r>
    </w:p>
    <w:p w14:paraId="6ECFBBC9">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rPr>
      </w:pPr>
      <w:bookmarkStart w:id="23" w:name="_Toc17420"/>
      <w:r>
        <w:rPr>
          <w:rFonts w:hint="eastAsia" w:ascii="楷体_GB2312" w:hAnsi="楷体_GB2312" w:eastAsia="楷体_GB2312" w:cs="楷体_GB2312"/>
        </w:rPr>
        <w:t>（四）质量控制和评价报告提交</w:t>
      </w:r>
      <w:bookmarkEnd w:id="23"/>
    </w:p>
    <w:p w14:paraId="4EB1406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质量控制分为三个阶段，前期准备阶段组织评价人员学习政策法规和评价方案，统一评价原则和口径；现场评价由评价小组负责人负责控制评价工作质量，形成报告初稿，将报告初稿送交被评价单位和财政局，请其核对报告中的事实陈述是否准确、有无遗漏。评价小组独立考虑和处理反馈意见，并决定是否采纳，同时进行三级复核后，最终正式出具报告。</w:t>
      </w:r>
    </w:p>
    <w:p w14:paraId="5824B52F">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sz w:val="32"/>
          <w:szCs w:val="32"/>
        </w:rPr>
      </w:pPr>
      <w:bookmarkStart w:id="24" w:name="_Toc30706"/>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、其他需要说明的问题</w:t>
      </w:r>
      <w:bookmarkEnd w:id="24"/>
    </w:p>
    <w:p w14:paraId="7BD423F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bookmarkStart w:id="25" w:name="_GoBack"/>
      <w:bookmarkEnd w:id="25"/>
    </w:p>
    <w:sectPr>
      <w:headerReference r:id="rId5" w:type="default"/>
      <w:pgSz w:w="11906" w:h="16838"/>
      <w:pgMar w:top="1417" w:right="1417" w:bottom="1417" w:left="1417" w:header="680" w:footer="680"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D8014D-5273-420C-9F15-93BDA06EC5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8C6EF25-331C-4660-8161-A46C8AD044CE}"/>
  </w:font>
  <w:font w:name="仿宋">
    <w:panose1 w:val="02010609060101010101"/>
    <w:charset w:val="86"/>
    <w:family w:val="modern"/>
    <w:pitch w:val="default"/>
    <w:sig w:usb0="800002BF" w:usb1="38CF7CFA" w:usb2="00000016" w:usb3="00000000" w:csb0="00040001" w:csb1="00000000"/>
    <w:embedRegular r:id="rId3" w:fontKey="{5E5F3B9B-430B-4C9A-A67D-00A5D5314797}"/>
  </w:font>
  <w:font w:name="楷体_GB2312">
    <w:panose1 w:val="02010609030101010101"/>
    <w:charset w:val="86"/>
    <w:family w:val="modern"/>
    <w:pitch w:val="default"/>
    <w:sig w:usb0="00000001" w:usb1="080E0000" w:usb2="00000000" w:usb3="00000000" w:csb0="00040000" w:csb1="00000000"/>
    <w:embedRegular r:id="rId4" w:fontKey="{E5AA02A6-6664-41F9-B68C-B38B3705567A}"/>
  </w:font>
  <w:font w:name="WPSEMBED1">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52096">
    <w:pPr>
      <w:pStyle w:val="6"/>
      <w:pBdr>
        <w:top w:val="none" w:color="auto" w:sz="0" w:space="0"/>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CF429">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8CF429">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673BC">
    <w:pPr>
      <w:pStyle w:val="7"/>
      <w:pBdr>
        <w:bottom w:val="single" w:color="auto" w:sz="4" w:space="3"/>
      </w:pBdr>
      <w:spacing w:line="240" w:lineRule="auto"/>
      <w:jc w:val="left"/>
      <w:rPr>
        <w:b/>
        <w:color w:val="FF0000"/>
        <w:sz w:val="52"/>
      </w:rPr>
    </w:pPr>
    <w:r>
      <w:rPr>
        <w:rFonts w:hint="eastAsia" w:ascii="仿宋" w:hAnsi="仿宋" w:eastAsia="仿宋" w:cs="仿宋"/>
        <w:i/>
        <w:sz w:val="24"/>
      </w:rPr>
      <w:t xml:space="preserve"> </w:t>
    </w:r>
    <w:r>
      <w:rPr>
        <w:b/>
        <w:color w:val="FF0000"/>
        <w:sz w:val="52"/>
      </w:rPr>
      <w:drawing>
        <wp:inline distT="0" distB="0" distL="114300" distR="114300">
          <wp:extent cx="4776470" cy="457200"/>
          <wp:effectExtent l="0" t="0" r="8890" b="0"/>
          <wp:docPr id="1" name="图片 1" descr="937203664142223530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372036641422235301137"/>
                  <pic:cNvPicPr>
                    <a:picLocks noChangeAspect="1"/>
                  </pic:cNvPicPr>
                </pic:nvPicPr>
                <pic:blipFill>
                  <a:blip r:embed="rId1"/>
                  <a:stretch>
                    <a:fillRect/>
                  </a:stretch>
                </pic:blipFill>
                <pic:spPr>
                  <a:xfrm>
                    <a:off x="0" y="0"/>
                    <a:ext cx="4776470" cy="457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40A2">
    <w:pPr>
      <w:pStyle w:val="7"/>
      <w:pBdr>
        <w:bottom w:val="single" w:color="auto" w:sz="4" w:space="3"/>
      </w:pBdr>
      <w:spacing w:line="240" w:lineRule="auto"/>
      <w:jc w:val="left"/>
      <w:rPr>
        <w:b/>
        <w:color w:val="FF0000"/>
        <w:sz w:val="52"/>
      </w:rPr>
    </w:pPr>
    <w:r>
      <w:rPr>
        <w:rFonts w:hint="eastAsia" w:ascii="仿宋" w:hAnsi="仿宋" w:eastAsia="仿宋" w:cs="仿宋"/>
        <w:i/>
        <w:sz w:val="24"/>
      </w:rPr>
      <w:t xml:space="preserve"> </w:t>
    </w:r>
    <w:r>
      <w:rPr>
        <w:b/>
        <w:color w:val="FF0000"/>
        <w:sz w:val="52"/>
      </w:rPr>
      <w:drawing>
        <wp:inline distT="0" distB="0" distL="114300" distR="114300">
          <wp:extent cx="4776470" cy="457200"/>
          <wp:effectExtent l="0" t="0" r="11430" b="0"/>
          <wp:docPr id="2" name="图片 2" descr="937203664142223530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372036641422235301137"/>
                  <pic:cNvPicPr>
                    <a:picLocks noChangeAspect="1"/>
                  </pic:cNvPicPr>
                </pic:nvPicPr>
                <pic:blipFill>
                  <a:blip r:embed="rId1"/>
                  <a:stretch>
                    <a:fillRect/>
                  </a:stretch>
                </pic:blipFill>
                <pic:spPr>
                  <a:xfrm>
                    <a:off x="0" y="0"/>
                    <a:ext cx="477647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7D64E"/>
    <w:multiLevelType w:val="singleLevel"/>
    <w:tmpl w:val="0C37D64E"/>
    <w:lvl w:ilvl="0" w:tentative="0">
      <w:start w:val="2"/>
      <w:numFmt w:val="decimal"/>
      <w:lvlText w:val="%1."/>
      <w:lvlJc w:val="left"/>
      <w:pPr>
        <w:tabs>
          <w:tab w:val="left" w:pos="312"/>
        </w:tabs>
        <w:ind w:left="800" w:leftChars="0" w:firstLine="0" w:firstLineChars="0"/>
      </w:pPr>
    </w:lvl>
  </w:abstractNum>
  <w:abstractNum w:abstractNumId="1">
    <w:nsid w:val="5CFAF041"/>
    <w:multiLevelType w:val="singleLevel"/>
    <w:tmpl w:val="5CFAF04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40329"/>
    <w:rsid w:val="019A0262"/>
    <w:rsid w:val="03455912"/>
    <w:rsid w:val="04DC728B"/>
    <w:rsid w:val="05C30850"/>
    <w:rsid w:val="070F26FC"/>
    <w:rsid w:val="079A7D66"/>
    <w:rsid w:val="07B407BE"/>
    <w:rsid w:val="0F113188"/>
    <w:rsid w:val="10B362E0"/>
    <w:rsid w:val="110A66FB"/>
    <w:rsid w:val="11A47844"/>
    <w:rsid w:val="11C26637"/>
    <w:rsid w:val="127B4B72"/>
    <w:rsid w:val="162A5977"/>
    <w:rsid w:val="173043C7"/>
    <w:rsid w:val="17DB4333"/>
    <w:rsid w:val="185145F5"/>
    <w:rsid w:val="186B56B7"/>
    <w:rsid w:val="18C8188B"/>
    <w:rsid w:val="1A137367"/>
    <w:rsid w:val="1A1D08EB"/>
    <w:rsid w:val="1D2C3BF1"/>
    <w:rsid w:val="1D6628F1"/>
    <w:rsid w:val="1F0979D8"/>
    <w:rsid w:val="1F6F7005"/>
    <w:rsid w:val="1FEE3EF7"/>
    <w:rsid w:val="211B1C44"/>
    <w:rsid w:val="233F4DD2"/>
    <w:rsid w:val="26D32C40"/>
    <w:rsid w:val="287717D8"/>
    <w:rsid w:val="2A61691A"/>
    <w:rsid w:val="2A790107"/>
    <w:rsid w:val="2DCB54A6"/>
    <w:rsid w:val="307375D4"/>
    <w:rsid w:val="32BA42F4"/>
    <w:rsid w:val="32D305D1"/>
    <w:rsid w:val="355B604D"/>
    <w:rsid w:val="3C0271FA"/>
    <w:rsid w:val="3E0F0E93"/>
    <w:rsid w:val="3F0A01B5"/>
    <w:rsid w:val="4402047A"/>
    <w:rsid w:val="445826E4"/>
    <w:rsid w:val="447A76E6"/>
    <w:rsid w:val="476B2F7E"/>
    <w:rsid w:val="48DC20B8"/>
    <w:rsid w:val="4BAF59A6"/>
    <w:rsid w:val="4C310EB0"/>
    <w:rsid w:val="4CCD62A7"/>
    <w:rsid w:val="4FB94960"/>
    <w:rsid w:val="502A3071"/>
    <w:rsid w:val="50D407A2"/>
    <w:rsid w:val="51590CC2"/>
    <w:rsid w:val="52586AA6"/>
    <w:rsid w:val="584E2170"/>
    <w:rsid w:val="59940376"/>
    <w:rsid w:val="59FF272C"/>
    <w:rsid w:val="5A2A5B43"/>
    <w:rsid w:val="5AA67BB7"/>
    <w:rsid w:val="5C277114"/>
    <w:rsid w:val="5D8F4F70"/>
    <w:rsid w:val="5D995DEF"/>
    <w:rsid w:val="60400B99"/>
    <w:rsid w:val="61A60435"/>
    <w:rsid w:val="61EE3C09"/>
    <w:rsid w:val="66AE50EE"/>
    <w:rsid w:val="66DB10E7"/>
    <w:rsid w:val="67284AC8"/>
    <w:rsid w:val="68C7438B"/>
    <w:rsid w:val="6AFD1CA5"/>
    <w:rsid w:val="6C1825D5"/>
    <w:rsid w:val="6EE40329"/>
    <w:rsid w:val="728C1627"/>
    <w:rsid w:val="72D059B7"/>
    <w:rsid w:val="74732A9E"/>
    <w:rsid w:val="75363ACC"/>
    <w:rsid w:val="75A7377C"/>
    <w:rsid w:val="766F04D8"/>
    <w:rsid w:val="76F97197"/>
    <w:rsid w:val="77233573"/>
    <w:rsid w:val="79276C84"/>
    <w:rsid w:val="7A3031E0"/>
    <w:rsid w:val="7B6A5C3B"/>
    <w:rsid w:val="7C9A5059"/>
    <w:rsid w:val="7CC2473D"/>
    <w:rsid w:val="7F4219EB"/>
    <w:rsid w:val="7FF3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hint="eastAsia" w:ascii="宋体" w:hAnsi="Courier New" w:cs="宋体"/>
      <w:szCs w:val="21"/>
    </w:rPr>
  </w:style>
  <w:style w:type="paragraph" w:styleId="5">
    <w:name w:val="Body Text Indent 2"/>
    <w:basedOn w:val="1"/>
    <w:qFormat/>
    <w:uiPriority w:val="99"/>
    <w:pPr>
      <w:spacing w:after="120" w:line="480" w:lineRule="auto"/>
      <w:ind w:left="420" w:leftChars="200"/>
    </w:pPr>
    <w:rPr>
      <w:rFonts w:ascii="Calibri" w:cs="Calibri"/>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customStyle="1" w:styleId="12">
    <w:name w:val="font21"/>
    <w:basedOn w:val="11"/>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3934</Words>
  <Characters>4627</Characters>
  <Lines>0</Lines>
  <Paragraphs>0</Paragraphs>
  <TotalTime>7</TotalTime>
  <ScaleCrop>false</ScaleCrop>
  <LinksUpToDate>false</LinksUpToDate>
  <CharactersWithSpaces>5173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2025-07-04T08:44:00Z</dcterms:created>
  <dc:creator>二大</dc:creator>
  <cp:lastModifiedBy>快乐牛妞芬</cp:lastModifiedBy>
  <dcterms:modified xsi:type="dcterms:W3CDTF">2025-11-18T08:29:34Z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6BE86D3DB27341EDB8381E1011862DF1_13</vt:lpwstr>
  </property>
  <property fmtid="{D5CDD505-2E9C-101B-9397-08002B2CF9AE}" pid="4" name="KSOTemplateDocerSaveRecord">
    <vt:lpwstr>eyJoZGlkIjoiM2YzMWRjNjU2ZTI2ZWU3Y2QxMzE3MTlkOWIwYWEyZDkiLCJ1c2VySWQiOiI0NzU5MDE2MTkifQ==</vt:lpwstr>
  </property>
</Properties>
</file>