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19410">
      <w:pPr>
        <w:jc w:val="center"/>
        <w:rPr>
          <w:rFonts w:hint="eastAsia"/>
          <w:sz w:val="36"/>
          <w:szCs w:val="44"/>
        </w:rPr>
      </w:pPr>
      <w:r>
        <w:rPr>
          <w:rFonts w:hint="eastAsia"/>
          <w:sz w:val="36"/>
          <w:szCs w:val="44"/>
        </w:rPr>
        <w:t>政协提案解决古林村田地抛荒问题补助资金2024年度绩效自评报告</w:t>
      </w:r>
    </w:p>
    <w:p w14:paraId="798DB753">
      <w:pPr>
        <w:rPr>
          <w:rFonts w:hint="eastAsia"/>
        </w:rPr>
      </w:pPr>
    </w:p>
    <w:p w14:paraId="0DF69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一、项目概述</w:t>
      </w:r>
    </w:p>
    <w:p w14:paraId="7D5FB7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2024年度，“政协提案解决古林村田地抛荒问题补助资金”项目由休宁县五城镇人民政府负责实施，主管部门同为休宁县五城镇人民政府 。该项目聚焦古林村田地抛荒难题，以3.00万元财政拨款为支撑，旨在通过资金补助，推动抛荒田地复垦利用，助力农业生产恢复与乡村发展 。</w:t>
      </w:r>
    </w:p>
    <w:p w14:paraId="36D7D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二、资金执行情况</w:t>
      </w:r>
    </w:p>
    <w:p w14:paraId="35AF4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项目年度资金总额3.00万元，均为本年财政拨款，年初预算数、全年预算数与全年执行数一致，执行率达100% 。资金严格依规拨付、使用，全程接受监管，无截留、挪用等情况，为项目推进提供了坚实、可靠的财力保障 。</w:t>
      </w:r>
    </w:p>
    <w:p w14:paraId="0245E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三、绩效目标完成情况</w:t>
      </w:r>
    </w:p>
    <w:p w14:paraId="5AC70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（一）年度总体目标</w:t>
      </w:r>
    </w:p>
    <w:p w14:paraId="73E16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“政协提案解决古林村田地抛荒问题补助资金”已全部完成执行，有效落实抛荒田地补助，助力古林村田地抛荒问题改善，达成预期项目使命 。</w:t>
      </w:r>
    </w:p>
    <w:p w14:paraId="0E902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（二）绩效指标细化成果</w:t>
      </w:r>
    </w:p>
    <w:p w14:paraId="1665F8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 产出指标</w:t>
      </w:r>
    </w:p>
    <w:p w14:paraId="7F2CD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①</w:t>
      </w:r>
      <w:r>
        <w:rPr>
          <w:rFonts w:hint="eastAsia"/>
          <w:sz w:val="28"/>
          <w:szCs w:val="36"/>
        </w:rPr>
        <w:t>数量指标：项目支出金额达30000元，与年度指标值契合，精准保障抛荒田地补助资金投放规模 。</w:t>
      </w:r>
    </w:p>
    <w:p w14:paraId="2134D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②</w:t>
      </w:r>
      <w:r>
        <w:rPr>
          <w:rFonts w:hint="eastAsia"/>
          <w:sz w:val="28"/>
          <w:szCs w:val="36"/>
        </w:rPr>
        <w:t>质量指标：项目支出合规性达预期，严格遵循财务制度、政协提案落实流程及农业补助政策，资金使用合法、规范 。</w:t>
      </w:r>
    </w:p>
    <w:p w14:paraId="398B2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③</w:t>
      </w:r>
      <w:r>
        <w:rPr>
          <w:rFonts w:hint="eastAsia"/>
          <w:sz w:val="28"/>
          <w:szCs w:val="36"/>
        </w:rPr>
        <w:t>时效指标：项目支出及时性满足要求，按田地复垦进度、补助发放流程，及时拨付资金，未出现延误，保障农业生产时序 。</w:t>
      </w:r>
    </w:p>
    <w:p w14:paraId="5E214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④</w:t>
      </w:r>
      <w:r>
        <w:rPr>
          <w:rFonts w:hint="eastAsia"/>
          <w:sz w:val="28"/>
          <w:szCs w:val="36"/>
        </w:rPr>
        <w:t>成本指标：项目支出成本控制有效，实际支出与预算一致，无超支，合理把控资金成本，实现资金高效利用 。</w:t>
      </w:r>
    </w:p>
    <w:p w14:paraId="483AE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 效益指标</w:t>
      </w:r>
    </w:p>
    <w:p w14:paraId="25FAB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①</w:t>
      </w:r>
      <w:r>
        <w:rPr>
          <w:rFonts w:hint="eastAsia"/>
          <w:sz w:val="28"/>
          <w:szCs w:val="36"/>
        </w:rPr>
        <w:t>经济效益：促进当地经济发展效果显著，抛荒田地复垦助力农业生产恢复，增加农产品产出，带动农民增收及农业产业发展，激活乡村经济活力 。</w:t>
      </w:r>
    </w:p>
    <w:p w14:paraId="0AAA2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②</w:t>
      </w:r>
      <w:r>
        <w:rPr>
          <w:rFonts w:hint="eastAsia"/>
          <w:sz w:val="28"/>
          <w:szCs w:val="36"/>
        </w:rPr>
        <w:t>社会效益：推进当地社会发展成效良好，解决田地抛荒问题，维护农村土地资源合理利用秩序，助力乡村振兴战略实施，提升乡村社会发展韧性 。</w:t>
      </w:r>
    </w:p>
    <w:p w14:paraId="049AE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③</w:t>
      </w:r>
      <w:r>
        <w:rPr>
          <w:rFonts w:hint="eastAsia"/>
          <w:sz w:val="28"/>
          <w:szCs w:val="36"/>
        </w:rPr>
        <w:t>生态效益：对当地生态发展积极作用明显，复垦抛荒田地，减少土地闲置导致的生态退化风险，改善乡村生态环境基底 。</w:t>
      </w:r>
    </w:p>
    <w:p w14:paraId="0F384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④</w:t>
      </w:r>
      <w:r>
        <w:rPr>
          <w:rFonts w:hint="eastAsia"/>
          <w:sz w:val="28"/>
          <w:szCs w:val="36"/>
        </w:rPr>
        <w:t>可持续影响：促进当地可持续发展潜力凸显，建立抛荒田地治理示范模式，为后续土地资源盘活、农业可持续发展积累经验，筑牢乡村长远发展基础 。</w:t>
      </w:r>
    </w:p>
    <w:p w14:paraId="69061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 满意度指标</w:t>
      </w:r>
    </w:p>
    <w:p w14:paraId="3057F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服务对象满意度达100%，远超年度指标值（＞95%） 。受益农户、乡村基层组织对补助资金落实及抛荒治理成效高度认可，彰显项目良好社会反响 。</w:t>
      </w:r>
    </w:p>
    <w:p w14:paraId="53516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四、综合评价结论</w:t>
      </w:r>
    </w:p>
    <w:p w14:paraId="3E0C5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2024年度，“政协提案解决古林村田地抛荒问题补助资金”项目资金执行高效、规范，绩效目标全面且高质量达成，在激活乡村土地价值、促进农业经济与生态协同发展等方面成效卓越，综合自评得分100分（满分100分 ）。</w:t>
      </w:r>
    </w:p>
    <w:p w14:paraId="68951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五、经验与展望</w:t>
      </w:r>
    </w:p>
    <w:p w14:paraId="6CB3D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（一）经验沉淀</w:t>
      </w:r>
    </w:p>
    <w:p w14:paraId="4AACF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构建“资金精准投放 + 流程规范管控 + 多元效益协同”工作模式，强化部门内部协同与监督，紧扣政协提案民生关切，精准对接农业生产需求，保障项目实效 。</w:t>
      </w:r>
    </w:p>
    <w:p w14:paraId="3BA72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（二）未来方向</w:t>
      </w:r>
    </w:p>
    <w:p w14:paraId="32C22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持续跟踪复垦田地后续利用效益，深化抛荒治理经验总结与推广；探索更多元化土地盘活路径，结合乡村产业规划，进一步释放土地资源价值，为乡村振兴注入更强动力 。</w:t>
      </w:r>
    </w:p>
    <w:p w14:paraId="1249C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</w:t>
      </w:r>
      <w:bookmarkStart w:id="0" w:name="_GoBack"/>
      <w:bookmarkEnd w:id="0"/>
    </w:p>
    <w:p w14:paraId="4DC19D5E">
      <w:pPr>
        <w:rPr>
          <w:rFonts w:hint="eastAsia"/>
          <w:lang w:val="en-US" w:eastAsia="zh-CN"/>
        </w:rPr>
      </w:pPr>
    </w:p>
    <w:p w14:paraId="28CAA49E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</w:t>
      </w:r>
      <w:r>
        <w:rPr>
          <w:rFonts w:hint="eastAsia"/>
          <w:sz w:val="28"/>
          <w:szCs w:val="36"/>
          <w:lang w:val="en-US" w:eastAsia="zh-CN"/>
        </w:rPr>
        <w:t>五城镇人民政府</w:t>
      </w:r>
    </w:p>
    <w:p w14:paraId="1D272664"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             2025年5月16日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B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1149</Words>
  <Characters>1183</Characters>
  <Lines>0</Lines>
  <Paragraphs>0</Paragraphs>
  <TotalTime>45</TotalTime>
  <ScaleCrop>false</ScaleCrop>
  <LinksUpToDate>false</LinksUpToDate>
  <CharactersWithSpaces>1216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2025-06-24T00:46:05Z</dcterms:created>
  <dc:creator>PC-20211013</dc:creator>
  <cp:lastModifiedBy>皮球有点皮</cp:lastModifiedBy>
  <dcterms:modified xsi:type="dcterms:W3CDTF">2025-06-24T01:32:59Z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eyJoZGlkIjoiM2YzMmI4NmZhZGVlY2YxMjhkNTdiZTFmYjQxMzJmMjkiLCJ1c2VySWQiOiI0NTA5NjgxMTMifQ==</vt:lpwstr>
  </property>
  <property fmtid="{D5CDD505-2E9C-101B-9397-08002B2CF9AE}" pid="4" name="ICV">
    <vt:lpwstr>386F6DC25BD443EB92E10D67E9674514_12</vt:lpwstr>
  </property>
</Properties>
</file>