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BD1D01">
      <w:pPr>
        <w:numPr>
          <w:ilvl w:val="0"/>
          <w:numId w:val="0"/>
        </w:num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 xml:space="preserve">五城镇2024年部门整体预算绩效      </w:t>
      </w:r>
    </w:p>
    <w:p w14:paraId="04F1BCA5">
      <w:pPr>
        <w:numPr>
          <w:ilvl w:val="0"/>
          <w:numId w:val="0"/>
        </w:num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管理工作评价报告 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"http://www.scjgdj.gov.cn/B000000057/201808/67160.html" \l "SOHUCS"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 w14:paraId="49EA6520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五城镇党委、五城镇政府：</w:t>
      </w:r>
    </w:p>
    <w:p w14:paraId="685D7591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根据休宁县财政局有关通知要求,五城镇财政所结合工作实际，认真开展了部门整体预算绩效自评工作，现将有关情况报告如下。</w:t>
      </w:r>
    </w:p>
    <w:p w14:paraId="75488A9E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一、部门概况</w:t>
      </w:r>
    </w:p>
    <w:p w14:paraId="2D11C917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(一)机构组成</w:t>
      </w:r>
    </w:p>
    <w:p w14:paraId="07F66EB9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休宁县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五城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镇人民政府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2024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年度部门预算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本级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val="en-US" w:eastAsia="zh-CN"/>
        </w:rPr>
        <w:t>一级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预算，纳入部门预算编制范围的单位共</w:t>
      </w: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个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。</w:t>
      </w:r>
    </w:p>
    <w:p w14:paraId="01B4768C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(二)机构职能</w:t>
      </w:r>
    </w:p>
    <w:p w14:paraId="61790395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五城镇人民政府履行《中华人民共和国地方各级人民代表大会和地方各级人民政府组织法》规定的各项职权。其主要职能是:</w:t>
      </w:r>
    </w:p>
    <w:p w14:paraId="6E2E2B5F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1.贯彻执行党和国家的路线、方针、政策、法律、法规和上级党委、政府的决定、命令。</w:t>
      </w:r>
    </w:p>
    <w:p w14:paraId="3ED1D9F9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促进本地经济发展。编制全乡经济发展规划、年度计划,并组织实施;指导经济结构调整和推进经济发展方式转变;因地制宜组织发展区域特色经济;营造经济发展环境,提供示范引导和政策服务;发展农村经济,加强农村经济管理工作;引导和促进新型农村专业合作经济组织发展,提高农民进入市场的组织化程度。</w:t>
      </w:r>
    </w:p>
    <w:p w14:paraId="0BD8C613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提供区域公共服务。编制区域内各项社会事业发展规划,完善社会化服务体系;充分利用和整合农村资源,为农民提供科技、教育、文化、信息、卫生、医疗、扶贫、人才开发、劳动就业、社会保障、计划生育、安全生产、防灾减灾、农村低保、城镇低保、社会救助、社会治安等方面的服务,管好用好国家转移到农村的各项资金;加强基础设施建设和新型农村服务体系建设,抓好农田水利、镇村道路、生态环境等各项公益事业建设;推进社会主义新农村建设。</w:t>
      </w:r>
    </w:p>
    <w:p w14:paraId="46857E24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全面加强社会管理。承担区域内的财政、税收、民政、公安、司法、人民武装等管理工作;加强环境保护,努力改善人居环境,促进人与人、人与自然、人与社会的和谐发展;负责区域内的社区、社团和经济组织的管理,发挥社团、行业组织和社会中介组织的作用;推行依法行政,严格依法履行职责;推行政务公开;综合发挥人民调解、行政调解和司法调解作用,妥善处理突发性、群体性事件,及时化解农村各种利益矛盾和纠纷,保障人民生命财产安全,确保农村社会稳定。</w:t>
      </w:r>
    </w:p>
    <w:p w14:paraId="0226D0FB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5.完成县委、县政府交办的其他任务。</w:t>
      </w:r>
    </w:p>
    <w:p w14:paraId="2C9A0EBD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(三)人员概况</w:t>
      </w:r>
    </w:p>
    <w:p w14:paraId="550D645B">
      <w:pPr>
        <w:numPr>
          <w:ilvl w:val="0"/>
          <w:numId w:val="0"/>
        </w:numPr>
        <w:ind w:firstLine="620" w:firstLineChars="200"/>
        <w:rPr>
          <w:rFonts w:hint="eastAsia" w:ascii="仿宋_GB2312" w:hAnsi="仿宋_GB2312" w:eastAsia="仿宋_GB2312" w:cs="仿宋_GB2312"/>
          <w:sz w:val="31"/>
          <w:szCs w:val="31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1"/>
          <w:szCs w:val="31"/>
          <w:shd w:val="clear" w:color="auto" w:fill="FFFFFF"/>
        </w:rPr>
        <w:t>截至</w:t>
      </w:r>
      <w:r>
        <w:rPr>
          <w:rFonts w:hint="eastAsia" w:ascii="仿宋_GB2312" w:hAnsi="仿宋_GB2312" w:eastAsia="仿宋_GB2312" w:cs="仿宋_GB2312"/>
          <w:sz w:val="31"/>
          <w:szCs w:val="31"/>
          <w:shd w:val="clear" w:color="auto" w:fill="FFFFFF"/>
          <w:lang w:eastAsia="zh-CN"/>
        </w:rPr>
        <w:t>2024</w:t>
      </w:r>
      <w:r>
        <w:rPr>
          <w:rFonts w:hint="eastAsia" w:ascii="仿宋_GB2312" w:hAnsi="仿宋_GB2312" w:eastAsia="仿宋_GB2312" w:cs="仿宋_GB2312"/>
          <w:sz w:val="31"/>
          <w:szCs w:val="31"/>
          <w:shd w:val="clear" w:color="auto" w:fill="FFFFFF"/>
        </w:rPr>
        <w:t>年12月31日，休宁县</w:t>
      </w:r>
      <w:r>
        <w:rPr>
          <w:rFonts w:hint="eastAsia" w:ascii="仿宋_GB2312" w:hAnsi="仿宋_GB2312" w:eastAsia="仿宋_GB2312" w:cs="仿宋_GB2312"/>
          <w:sz w:val="31"/>
          <w:szCs w:val="31"/>
          <w:shd w:val="clear" w:color="auto" w:fill="FFFFFF"/>
          <w:lang w:eastAsia="zh-CN"/>
        </w:rPr>
        <w:t>五城</w:t>
      </w:r>
      <w:r>
        <w:rPr>
          <w:rFonts w:hint="eastAsia" w:ascii="仿宋_GB2312" w:hAnsi="仿宋_GB2312" w:eastAsia="仿宋_GB2312" w:cs="仿宋_GB2312"/>
          <w:sz w:val="31"/>
          <w:szCs w:val="31"/>
          <w:shd w:val="clear" w:color="auto" w:fill="FFFFFF"/>
        </w:rPr>
        <w:t>镇人民政府实有</w:t>
      </w:r>
      <w:r>
        <w:rPr>
          <w:rFonts w:hint="eastAsia" w:ascii="仿宋_GB2312" w:hAnsi="仿宋_GB2312" w:eastAsia="仿宋_GB2312" w:cs="仿宋_GB2312"/>
          <w:sz w:val="31"/>
          <w:szCs w:val="31"/>
          <w:shd w:val="clear" w:color="auto" w:fill="FFFFFF"/>
          <w:lang w:val="en-US" w:eastAsia="zh-CN"/>
        </w:rPr>
        <w:t>在职</w:t>
      </w:r>
      <w:r>
        <w:rPr>
          <w:rFonts w:hint="eastAsia" w:ascii="仿宋_GB2312" w:hAnsi="仿宋_GB2312" w:eastAsia="仿宋_GB2312" w:cs="仿宋_GB2312"/>
          <w:sz w:val="31"/>
          <w:szCs w:val="31"/>
          <w:shd w:val="clear" w:color="auto" w:fill="FFFFFF"/>
        </w:rPr>
        <w:t>人员</w:t>
      </w:r>
      <w:r>
        <w:rPr>
          <w:rFonts w:hint="eastAsia" w:ascii="仿宋_GB2312" w:hAnsi="仿宋_GB2312" w:eastAsia="仿宋_GB2312" w:cs="仿宋_GB2312"/>
          <w:sz w:val="31"/>
          <w:szCs w:val="31"/>
          <w:shd w:val="clear" w:color="auto" w:fill="FFFFFF"/>
          <w:lang w:val="en-US" w:eastAsia="zh-CN"/>
        </w:rPr>
        <w:t>53</w:t>
      </w:r>
      <w:r>
        <w:rPr>
          <w:rFonts w:hint="eastAsia" w:ascii="仿宋_GB2312" w:hAnsi="仿宋_GB2312" w:eastAsia="仿宋_GB2312" w:cs="仿宋_GB2312"/>
          <w:sz w:val="31"/>
          <w:szCs w:val="31"/>
          <w:shd w:val="clear" w:color="auto" w:fill="FFFFFF"/>
        </w:rPr>
        <w:t>人，其中</w:t>
      </w:r>
      <w:r>
        <w:rPr>
          <w:rFonts w:hint="eastAsia" w:ascii="仿宋_GB2312" w:hAnsi="仿宋_GB2312" w:eastAsia="仿宋_GB2312" w:cs="仿宋_GB2312"/>
          <w:sz w:val="31"/>
          <w:szCs w:val="31"/>
          <w:shd w:val="clear" w:color="auto" w:fill="FFFFFF"/>
          <w:lang w:val="en-US" w:eastAsia="zh-CN"/>
        </w:rPr>
        <w:t>行政</w:t>
      </w:r>
      <w:r>
        <w:rPr>
          <w:rFonts w:hint="eastAsia" w:ascii="仿宋_GB2312" w:hAnsi="仿宋_GB2312" w:eastAsia="仿宋_GB2312" w:cs="仿宋_GB2312"/>
          <w:sz w:val="31"/>
          <w:szCs w:val="31"/>
          <w:shd w:val="clear" w:color="auto" w:fill="FFFFFF"/>
        </w:rPr>
        <w:t>在职</w:t>
      </w:r>
      <w:r>
        <w:rPr>
          <w:rFonts w:hint="eastAsia" w:ascii="仿宋_GB2312" w:hAnsi="仿宋_GB2312" w:eastAsia="仿宋_GB2312" w:cs="仿宋_GB2312"/>
          <w:sz w:val="31"/>
          <w:szCs w:val="31"/>
          <w:shd w:val="clear" w:color="auto" w:fill="FFFFFF"/>
          <w:lang w:val="en-US" w:eastAsia="zh-CN"/>
        </w:rPr>
        <w:t>27人</w:t>
      </w:r>
      <w:r>
        <w:rPr>
          <w:rFonts w:hint="eastAsia" w:ascii="仿宋_GB2312" w:hAnsi="仿宋_GB2312" w:eastAsia="仿宋_GB2312" w:cs="仿宋_GB2312"/>
          <w:sz w:val="31"/>
          <w:szCs w:val="31"/>
          <w:shd w:val="clear" w:color="auto" w:fill="FFFFFF"/>
        </w:rPr>
        <w:t>、</w:t>
      </w:r>
      <w:r>
        <w:rPr>
          <w:rFonts w:hint="eastAsia" w:ascii="仿宋_GB2312" w:hAnsi="仿宋_GB2312" w:eastAsia="仿宋_GB2312" w:cs="仿宋_GB2312"/>
          <w:sz w:val="31"/>
          <w:szCs w:val="31"/>
          <w:shd w:val="clear" w:color="auto" w:fill="FFFFFF"/>
          <w:lang w:val="en-US" w:eastAsia="zh-CN"/>
        </w:rPr>
        <w:t>事业在职26</w:t>
      </w:r>
      <w:r>
        <w:rPr>
          <w:rFonts w:hint="eastAsia" w:ascii="仿宋_GB2312" w:hAnsi="仿宋_GB2312" w:eastAsia="仿宋_GB2312" w:cs="仿宋_GB2312"/>
          <w:sz w:val="31"/>
          <w:szCs w:val="31"/>
          <w:shd w:val="clear" w:color="auto" w:fill="FFFFFF"/>
        </w:rPr>
        <w:t>人。</w:t>
      </w:r>
    </w:p>
    <w:p w14:paraId="67C93996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二、部门财政资金收支情况</w:t>
      </w:r>
    </w:p>
    <w:p w14:paraId="5CCB3CD2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(一)部门财政资金收入情况</w:t>
      </w:r>
    </w:p>
    <w:p w14:paraId="4604ACD1">
      <w:pPr>
        <w:spacing w:line="54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2024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年我镇一般预算收入完成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2243.65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万元，其中：财政拨款预算收入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2127.30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万元，其他预算收入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116.35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万元。</w:t>
      </w:r>
    </w:p>
    <w:p w14:paraId="3DB37DF1">
      <w:pPr>
        <w:spacing w:line="54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highlight w:val="yellow"/>
        </w:rPr>
      </w:pPr>
      <w:r>
        <w:rPr>
          <w:rFonts w:ascii="仿宋_GB2312" w:eastAsia="仿宋_GB2312"/>
          <w:color w:val="000000"/>
          <w:sz w:val="32"/>
          <w:szCs w:val="32"/>
        </w:rPr>
        <w:t>完成财政税收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1070.12</w:t>
      </w:r>
      <w:r>
        <w:rPr>
          <w:rFonts w:ascii="仿宋_GB2312" w:eastAsia="仿宋_GB2312"/>
          <w:color w:val="000000"/>
          <w:sz w:val="32"/>
          <w:szCs w:val="32"/>
        </w:rPr>
        <w:t>万元，完成目标任务的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仿宋_GB2312" w:eastAsia="仿宋_GB2312"/>
          <w:color w:val="000000"/>
          <w:sz w:val="32"/>
          <w:szCs w:val="32"/>
        </w:rPr>
        <w:t>%。其中：车船税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207.85</w:t>
      </w:r>
      <w:r>
        <w:rPr>
          <w:rFonts w:ascii="仿宋_GB2312" w:eastAsia="仿宋_GB2312"/>
          <w:color w:val="000000"/>
          <w:sz w:val="32"/>
          <w:szCs w:val="32"/>
        </w:rPr>
        <w:t>万元、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土地使用税18.10万元、土地增值税1.67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、</w:t>
      </w:r>
      <w:r>
        <w:rPr>
          <w:rFonts w:ascii="仿宋_GB2312" w:eastAsia="仿宋_GB2312"/>
          <w:color w:val="000000"/>
          <w:sz w:val="32"/>
          <w:szCs w:val="32"/>
        </w:rPr>
        <w:t>增值税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678.72</w:t>
      </w:r>
      <w:r>
        <w:rPr>
          <w:rFonts w:ascii="仿宋_GB2312" w:eastAsia="仿宋_GB2312"/>
          <w:color w:val="000000"/>
          <w:sz w:val="32"/>
          <w:szCs w:val="32"/>
        </w:rPr>
        <w:t xml:space="preserve"> 万元</w:t>
      </w:r>
      <w:r>
        <w:rPr>
          <w:rFonts w:hint="eastAsia" w:ascii="仿宋_GB2312" w:eastAsia="仿宋_GB2312"/>
          <w:color w:val="000000"/>
          <w:sz w:val="32"/>
          <w:szCs w:val="32"/>
        </w:rPr>
        <w:t>、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企业</w:t>
      </w:r>
      <w:r>
        <w:rPr>
          <w:rFonts w:ascii="仿宋_GB2312" w:eastAsia="仿宋_GB2312"/>
          <w:color w:val="000000"/>
          <w:sz w:val="32"/>
          <w:szCs w:val="32"/>
        </w:rPr>
        <w:t>所得税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33.24</w:t>
      </w:r>
      <w:r>
        <w:rPr>
          <w:rFonts w:ascii="仿宋_GB2312" w:eastAsia="仿宋_GB2312"/>
          <w:color w:val="000000"/>
          <w:sz w:val="32"/>
          <w:szCs w:val="32"/>
        </w:rPr>
        <w:t>万元、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个人所得税13.87万元，</w:t>
      </w:r>
      <w:r>
        <w:rPr>
          <w:rFonts w:hint="eastAsia" w:ascii="仿宋_GB2312" w:eastAsia="仿宋_GB2312"/>
          <w:color w:val="000000"/>
          <w:sz w:val="32"/>
          <w:szCs w:val="32"/>
        </w:rPr>
        <w:t>城市维护建设</w:t>
      </w:r>
      <w:r>
        <w:rPr>
          <w:rFonts w:ascii="仿宋_GB2312" w:eastAsia="仿宋_GB2312"/>
          <w:color w:val="000000"/>
          <w:sz w:val="32"/>
          <w:szCs w:val="32"/>
        </w:rPr>
        <w:t>税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43.58</w:t>
      </w:r>
      <w:r>
        <w:rPr>
          <w:rFonts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</w:rPr>
        <w:t>、房产税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194.29万元、印花税11.82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、耕地占用税1.21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、契税14.78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、环境保护税0.51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、烟叶税25.36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ascii="仿宋_GB2312" w:eastAsia="仿宋_GB2312"/>
          <w:color w:val="000000"/>
          <w:sz w:val="32"/>
          <w:szCs w:val="32"/>
        </w:rPr>
        <w:t>。</w:t>
      </w:r>
    </w:p>
    <w:p w14:paraId="728C69AA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(二)部门财政资金支出情况</w:t>
      </w:r>
    </w:p>
    <w:p w14:paraId="4C984637">
      <w:pPr>
        <w:spacing w:line="54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20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年财政支出完成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2243.65万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元，其中一般公共服务支出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547.08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万元，社会保障和就业支出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172.44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万元，医疗卫生支出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24.46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万元，城乡社区事务支出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205.20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万元，农林水事务支出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1228.74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农村综合改革支出592.99万元，住房保障支出65.73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万元。</w:t>
      </w:r>
    </w:p>
    <w:p w14:paraId="511DEC04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三、部门财政支出管理情况</w:t>
      </w:r>
    </w:p>
    <w:p w14:paraId="75F49163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(一)部门决策情况</w:t>
      </w:r>
    </w:p>
    <w:p w14:paraId="65605779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为确保年度预算编制更加科学、精确、完善，五城镇财政所依照“统筹兼顾、厉行节约、保障重点、注重绩效”的原则，结合五城镇当年重点工作需要，规范编制部门预算，切实提高预算编制质量。</w:t>
      </w:r>
    </w:p>
    <w:p w14:paraId="4ADA4C05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夯实预算编制基础。加强与组织人事、行政后勤等部门的沟通配合，认真核实人员编制、办公面积等情况，准确掌握实有在职、离退休人员人数及各职级情况，机关办公面积，据此测算出2024年度人员经费、公用经费的需求量。同时，根据我镇各部门的职能职责和县委县政府交办的重点工作，要求各部门及时申报2024年度项目经费及新增项目经费，完善资金申报资料及手续。</w:t>
      </w:r>
    </w:p>
    <w:p w14:paraId="1E9A2D66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是切实做好预算编制工作。一方面做好基本支出预算编制，确保人员经费和日常公用经费编制科学准确。另一方面认真梳理、筛选、汇总各部门2024年重点工作及项目经费需求，根据工作轻重缓急填报项目库。对于新增项目要求承办部门提供相关依据和经费预算明细，完善相关资金申报手续。同时对预算责任、指标、费用、定额等进行细化分解，明确绩效目标。</w:t>
      </w:r>
    </w:p>
    <w:p w14:paraId="66C4ABFF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是做好绩效目标管理工作。从时间要求、质量、规模等方面加强目标绩效管理，绩效目标指向明确，符合国家政策法规和部门职能要求，从数量、质量、成本、时效、效益等方面细化量化绩效目标，确保在一定期限内如期实现。</w:t>
      </w:r>
    </w:p>
    <w:p w14:paraId="75A25EB4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四是完善预算编制后续工作。预算编制完成后，按照上级财政部门规定的时间节点送审，确保预算编制质量，杜绝工作疏漏。并将预算编制结果报送各部门。</w:t>
      </w:r>
    </w:p>
    <w:p w14:paraId="34A1F251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(二)综合管理情况</w:t>
      </w:r>
    </w:p>
    <w:p w14:paraId="47FE4F9E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专项资金分配及中期评估情况。按照经费管理制度，加强对各部门预算执行管理，及时跟进各项目资金使用情况，向项目承办方通报资金执行进度。对于执行进度缓慢或无法执行的项目预算按规定程序及时进行调整。完善项目资金使用审批手续，坚持先审批，后使用，确保专项资金专款专用。</w:t>
      </w:r>
    </w:p>
    <w:p w14:paraId="78212AA7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2.政府采购实施计划情况。2024年政府采购年初预算为10万元，在政府采购计划执行过程中，严格执行《政府采购法》，根据实际需求，按照实施计划进度和标准完成采购，确保应采尽采，符合规定。</w:t>
      </w:r>
    </w:p>
    <w:p w14:paraId="1342A6B4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资产管理情况。严格执行固定资产管理规定，对符合固定资产限额标准的财物，均纳入固定资产范围进行管理。建立固定资产台账，定期核对账目，确保账账相符、账实相符。完成国有资产全面清查工作，对清查出的毁损待报废资产按程序进行了报废处置。</w:t>
      </w:r>
    </w:p>
    <w:p w14:paraId="63A8B17D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内控制度管理情况。成立了内控工作领导小组，完成了内部控制基础性评价工作，确定了内部控制建立与实施的重点工作和改进方向。在经费管理方面，明确部门经费管理职责、开支范围及标准。坚持“先预算，后支出”，实行预算全覆盖，各项收入和支出全部纳入预算管理，统筹安排使用，优化使用结构，保证重点项目实施。进一步完善了《机关财务管理制度》等规章制度。会计核算实行统一核算;机关账户统一开设、统一管理;严格执行《政府采购法》，按照政府采购的标准和要求执行政府采购工作。</w:t>
      </w:r>
    </w:p>
    <w:p w14:paraId="223D88BC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5.信息公开情况。根据县财政局统一安排，我们在规定时间按照统一格式、内容、口径分别在县政府网站和单位门户网站公开了2022年部门决算、2024年部门预算信息，做到基础数据真实、准确、完整。</w:t>
      </w:r>
    </w:p>
    <w:p w14:paraId="5DB47F0F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绩效评价及绩效监控情况。按照县财政局的统一部署，五城镇高度重视绩效考评工作，制定了绩效总目标，依照国家政策法规规定和本部门实际情况，健全财务基础管理制度和约束机制，依法、有效地使用财政资金。通过采取询问和集中评议的方法，对各部门项目资金的分配、拨付、使用、核算都严格把关。</w:t>
      </w:r>
    </w:p>
    <w:p w14:paraId="61CFE377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(四)整体绩效</w:t>
      </w:r>
    </w:p>
    <w:p w14:paraId="1E53BF41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坚持以习近平新时代中国特色社会主义思想为指导，认真落实中央和省市县各项决策部署，围绕中心、服务大局，各项工作创新推进、成效突出，为推动五城镇再上新台阶发挥了积极作用。</w:t>
      </w:r>
    </w:p>
    <w:p w14:paraId="1192279E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四、评价结论及建议</w:t>
      </w:r>
    </w:p>
    <w:p w14:paraId="1CBE433B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(一)评价结论</w:t>
      </w:r>
    </w:p>
    <w:p w14:paraId="792855FA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绩效评价，我们认为，2024年度五城镇部门预算具有明确的用途和目标，制定了详细的执行计划，资金到位及时并严格按照财政有关规定使用。预算决策、管理、执行等日益规范，能较好地满足工作需要，取得了良好经济效益和社会效益。</w:t>
      </w:r>
    </w:p>
    <w:p w14:paraId="50EE1371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(二)存在的问题</w:t>
      </w:r>
    </w:p>
    <w:p w14:paraId="79C0E9F9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一是由于工作安排的原因，存在部门预算执行进度不均衡，项目资金使用“前松后紧”现象;二是受评价指标所限，部分项目效果无法量化，评价结果参差不齐。</w:t>
      </w:r>
    </w:p>
    <w:p w14:paraId="71A0EC32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(三)工作建议</w:t>
      </w:r>
    </w:p>
    <w:p w14:paraId="39890764"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要加大对财政资金支出绩效评价工作的培训力度，进一步提高人员的业务素质，切实提升资金支出绩效评价工作水平。二是要进一步探索绩效评价结果应用，夯实绩效评价结果应用基础，健全绩效评价结果应用体制机制。三是要进一步结合新预算一体化系统，一体化推进预算编制与预算绩效管理工作。四是要建立健全绩效评价结果反馈和问题整改责任制，在组织实施过程中不断总结和完善。</w:t>
      </w:r>
    </w:p>
    <w:p w14:paraId="4B9B98B0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F120E53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A62674E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9510DBA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AE36E73">
      <w:pPr>
        <w:numPr>
          <w:ilvl w:val="0"/>
          <w:numId w:val="0"/>
        </w:numPr>
        <w:ind w:firstLine="4800" w:firstLineChars="1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五城镇经济发展办公室</w:t>
      </w:r>
    </w:p>
    <w:p w14:paraId="55EC8823">
      <w:pPr>
        <w:numPr>
          <w:ilvl w:val="0"/>
          <w:numId w:val="0"/>
        </w:numPr>
        <w:ind w:firstLine="5440" w:firstLineChars="17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2025年4月11日</w:t>
      </w:r>
    </w:p>
    <w:p w14:paraId="3D01518C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6FC6C8F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D68D5BF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BC93D9B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912BC9B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4406CC9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B5FDF08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YzMmI4NmZhZGVlY2YxMjhkNTdiZTFmYjQxMzJmMjkifQ=="/>
  </w:docVars>
  <w:rsids>
    <w:rsidRoot w:val="0AA20749"/>
    <w:rsid w:val="07611763"/>
    <w:rsid w:val="0AA20749"/>
    <w:rsid w:val="10E65420"/>
    <w:rsid w:val="122545B8"/>
    <w:rsid w:val="392F4618"/>
    <w:rsid w:val="399871AB"/>
    <w:rsid w:val="3B277DEB"/>
    <w:rsid w:val="43392789"/>
    <w:rsid w:val="4D80293B"/>
    <w:rsid w:val="5F246C3D"/>
    <w:rsid w:val="68DF7EBE"/>
    <w:rsid w:val="7D31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3058</Words>
  <Characters>3213</Characters>
  <Lines>0</Lines>
  <Paragraphs>0</Paragraphs>
  <TotalTime>19</TotalTime>
  <ScaleCrop>false</ScaleCrop>
  <LinksUpToDate>false</LinksUpToDate>
  <CharactersWithSpaces>3223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2022-03-02T03:18:00Z</dcterms:created>
  <dc:creator>超级苏苏</dc:creator>
  <cp:lastModifiedBy>皮球有点皮</cp:lastModifiedBy>
  <cp:lastPrinted>2022-03-02T04:18:00Z</cp:lastPrinted>
  <dcterms:modified xsi:type="dcterms:W3CDTF">2025-04-11T02:54:19Z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576A3D1AFB0F4CD4BAF652CC2C143FF1_13</vt:lpwstr>
  </property>
  <property fmtid="{D5CDD505-2E9C-101B-9397-08002B2CF9AE}" pid="4" name="KSOTemplateDocerSaveRecord">
    <vt:lpwstr>eyJoZGlkIjoiM2YzMmI4NmZhZGVlY2YxMjhkNTdiZTFmYjQxMzJmMjkiLCJ1c2VySWQiOiI0NTA5NjgxMTMifQ==</vt:lpwstr>
  </property>
</Properties>
</file>